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C6AD" w14:textId="6F96BF51" w:rsidR="00C517F8" w:rsidRDefault="00C517F8" w:rsidP="00C517F8">
      <w:pPr>
        <w:ind w:left="0" w:firstLine="0"/>
        <w:jc w:val="center"/>
      </w:pPr>
      <w:bookmarkStart w:id="0" w:name="_Hlk221630485"/>
      <w:r>
        <w:t xml:space="preserve">IN </w:t>
      </w:r>
      <w:r w:rsidRPr="00E97089">
        <w:t>THE DISTRICT COURT</w:t>
      </w:r>
      <w:r>
        <w:t xml:space="preserve"> OF </w:t>
      </w:r>
      <w:r w:rsidR="00FE0B98">
        <w:t xml:space="preserve">SARPY </w:t>
      </w:r>
      <w:r>
        <w:t>COUNTY, NEBRASKA</w:t>
      </w:r>
    </w:p>
    <w:p w14:paraId="6168B549" w14:textId="77777777" w:rsidR="00C517F8" w:rsidRDefault="00C517F8" w:rsidP="00C517F8">
      <w:pPr>
        <w:ind w:left="0" w:firstLine="0"/>
        <w:jc w:val="center"/>
      </w:pPr>
    </w:p>
    <w:tbl>
      <w:tblPr>
        <w:tblStyle w:val="TableGrid"/>
        <w:tblW w:w="78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3754"/>
      </w:tblGrid>
      <w:tr w:rsidR="00C517F8" w:rsidRPr="00B73E1F" w14:paraId="6788A3B8" w14:textId="77777777" w:rsidTr="00D42BBD">
        <w:trPr>
          <w:jc w:val="center"/>
        </w:trPr>
        <w:tc>
          <w:tcPr>
            <w:tcW w:w="4068" w:type="dxa"/>
            <w:tcBorders>
              <w:right w:val="single" w:sz="4" w:space="0" w:color="auto"/>
            </w:tcBorders>
          </w:tcPr>
          <w:p w14:paraId="08FF9494" w14:textId="3A95AE8A" w:rsidR="00C517F8" w:rsidRDefault="00FE0B98" w:rsidP="00C94186">
            <w:pPr>
              <w:ind w:left="0" w:firstLine="0"/>
            </w:pPr>
            <w:r>
              <w:t xml:space="preserve">WHITETAIL CREEK </w:t>
            </w:r>
            <w:r w:rsidR="00C517F8">
              <w:t>HOMEOWNERS ASSOCIATION, a</w:t>
            </w:r>
            <w:r>
              <w:t> </w:t>
            </w:r>
            <w:r w:rsidR="00C517F8">
              <w:t>Nebraska Non-Profit Corporation,</w:t>
            </w:r>
          </w:p>
          <w:p w14:paraId="4FF3AA30" w14:textId="77777777" w:rsidR="00C517F8" w:rsidRPr="00B73E1F" w:rsidRDefault="00C517F8" w:rsidP="00C94186">
            <w:pPr>
              <w:ind w:left="0" w:firstLine="0"/>
            </w:pPr>
          </w:p>
          <w:p w14:paraId="51D4C4A9" w14:textId="2DE76DA1" w:rsidR="00C517F8" w:rsidRPr="00B73E1F" w:rsidRDefault="00C517F8" w:rsidP="00C94186">
            <w:pPr>
              <w:ind w:left="0" w:firstLine="0"/>
            </w:pPr>
            <w:r w:rsidRPr="00B73E1F">
              <w:t xml:space="preserve">                        Plaintiff,</w:t>
            </w:r>
          </w:p>
          <w:p w14:paraId="6A895D56" w14:textId="77777777" w:rsidR="00C517F8" w:rsidRPr="00B73E1F" w:rsidRDefault="00C517F8" w:rsidP="00C94186">
            <w:pPr>
              <w:ind w:left="0" w:firstLine="0"/>
            </w:pPr>
          </w:p>
          <w:p w14:paraId="32CE9332" w14:textId="77777777" w:rsidR="00C517F8" w:rsidRPr="00B73E1F" w:rsidRDefault="00C517F8" w:rsidP="00C94186">
            <w:pPr>
              <w:ind w:left="0" w:firstLine="0"/>
            </w:pPr>
            <w:r w:rsidRPr="00B73E1F">
              <w:t xml:space="preserve">    v.</w:t>
            </w:r>
          </w:p>
          <w:p w14:paraId="39F1AEAB" w14:textId="77777777" w:rsidR="00C517F8" w:rsidRDefault="00C517F8" w:rsidP="00C94186">
            <w:pPr>
              <w:ind w:left="0" w:firstLine="0"/>
            </w:pPr>
          </w:p>
          <w:p w14:paraId="07C6B73B" w14:textId="39EA347D" w:rsidR="00C517F8" w:rsidRPr="00B73E1F" w:rsidRDefault="00FE0B98" w:rsidP="00C94186">
            <w:pPr>
              <w:ind w:left="0" w:firstLine="0"/>
            </w:pPr>
            <w:r>
              <w:t>SAI RAGHU</w:t>
            </w:r>
            <w:r w:rsidR="009E1B4E">
              <w:t xml:space="preserve"> THOTA</w:t>
            </w:r>
            <w:r>
              <w:t xml:space="preserve"> and JOSHI POORVA</w:t>
            </w:r>
            <w:r w:rsidR="00C03BC1">
              <w:t xml:space="preserve">; </w:t>
            </w:r>
            <w:r w:rsidR="00C03BC1" w:rsidRPr="00C03BC1">
              <w:t>MORTGAGE ELECTRONIC REGISTRATION SYSTEMS, INC., solely as nominee for First Bank d/b/a Belay Bank; and</w:t>
            </w:r>
            <w:r w:rsidR="00C03BC1">
              <w:t xml:space="preserve"> </w:t>
            </w:r>
            <w:r w:rsidR="00C03BC1" w:rsidRPr="00C03BC1">
              <w:t>FIRST BANK d/b/a BELAY BANK</w:t>
            </w:r>
            <w:r w:rsidR="00C03BC1">
              <w:t>,</w:t>
            </w:r>
          </w:p>
          <w:p w14:paraId="6D70157E" w14:textId="77777777" w:rsidR="00C517F8" w:rsidRPr="00B73E1F" w:rsidRDefault="00C517F8" w:rsidP="00C94186">
            <w:pPr>
              <w:ind w:left="0" w:firstLine="0"/>
            </w:pPr>
          </w:p>
          <w:p w14:paraId="7FF5726A" w14:textId="4AD7131E" w:rsidR="00C517F8" w:rsidRPr="00B73E1F" w:rsidRDefault="00C517F8" w:rsidP="00C94186">
            <w:pPr>
              <w:ind w:left="0" w:firstLine="0"/>
            </w:pPr>
            <w:r w:rsidRPr="00B73E1F">
              <w:t xml:space="preserve">                        Defendant</w:t>
            </w:r>
            <w:r w:rsidR="00FE0B98">
              <w:t>s</w:t>
            </w:r>
            <w:r w:rsidRPr="00B73E1F">
              <w:t>.</w:t>
            </w:r>
          </w:p>
        </w:tc>
        <w:tc>
          <w:tcPr>
            <w:tcW w:w="3754" w:type="dxa"/>
          </w:tcPr>
          <w:p w14:paraId="06333F14" w14:textId="4431ED69" w:rsidR="00C517F8" w:rsidRPr="00B73E1F" w:rsidRDefault="00C517F8" w:rsidP="00C94186">
            <w:pPr>
              <w:tabs>
                <w:tab w:val="left" w:pos="612"/>
              </w:tabs>
              <w:ind w:left="0" w:firstLine="0"/>
            </w:pPr>
            <w:r>
              <w:t xml:space="preserve">         Case No. CI 2</w:t>
            </w:r>
            <w:r w:rsidR="00FE0B98">
              <w:t>6</w:t>
            </w:r>
            <w:r>
              <w:t>-______</w:t>
            </w:r>
          </w:p>
          <w:p w14:paraId="77078B66" w14:textId="77777777" w:rsidR="00C517F8" w:rsidRPr="00B73E1F" w:rsidRDefault="00C517F8" w:rsidP="00C94186">
            <w:pPr>
              <w:ind w:left="0" w:firstLine="0"/>
            </w:pPr>
          </w:p>
          <w:p w14:paraId="777BBD8A" w14:textId="77777777" w:rsidR="00C517F8" w:rsidRDefault="00C517F8" w:rsidP="00C94186">
            <w:pPr>
              <w:ind w:left="0" w:firstLine="0"/>
            </w:pPr>
          </w:p>
          <w:p w14:paraId="1E84B789" w14:textId="77777777" w:rsidR="00E50799" w:rsidRPr="00B73E1F" w:rsidRDefault="00E50799" w:rsidP="00C94186">
            <w:pPr>
              <w:ind w:left="0" w:firstLine="0"/>
            </w:pPr>
          </w:p>
          <w:p w14:paraId="61235024" w14:textId="1BD5165F" w:rsidR="00C517F8" w:rsidRPr="00E97089" w:rsidRDefault="00E50799" w:rsidP="00C94186">
            <w:pPr>
              <w:ind w:left="0" w:firstLine="0"/>
              <w:jc w:val="center"/>
              <w:rPr>
                <w:b/>
                <w:bCs/>
              </w:rPr>
            </w:pPr>
            <w:r w:rsidRPr="00E97089">
              <w:rPr>
                <w:b/>
                <w:bCs/>
              </w:rPr>
              <w:t>C</w:t>
            </w:r>
            <w:r>
              <w:rPr>
                <w:b/>
                <w:bCs/>
              </w:rPr>
              <w:t>OMPLAINT</w:t>
            </w:r>
          </w:p>
          <w:p w14:paraId="22C65C68" w14:textId="77777777" w:rsidR="00C517F8" w:rsidRDefault="00C517F8" w:rsidP="00C94186">
            <w:pPr>
              <w:ind w:left="0" w:firstLine="0"/>
              <w:rPr>
                <w:b/>
              </w:rPr>
            </w:pPr>
          </w:p>
          <w:p w14:paraId="51F2B7F9" w14:textId="77777777" w:rsidR="00C517F8" w:rsidRPr="00B73E1F" w:rsidRDefault="00C517F8" w:rsidP="00C94186">
            <w:pPr>
              <w:ind w:left="0" w:firstLine="0"/>
              <w:rPr>
                <w:b/>
              </w:rPr>
            </w:pPr>
          </w:p>
        </w:tc>
      </w:tr>
    </w:tbl>
    <w:p w14:paraId="7FFDC8FE" w14:textId="77777777" w:rsidR="00C517F8" w:rsidRDefault="00C517F8" w:rsidP="00C517F8">
      <w:pPr>
        <w:ind w:left="0" w:firstLine="0"/>
      </w:pPr>
    </w:p>
    <w:p w14:paraId="66726340" w14:textId="6E98EDF8" w:rsidR="00A24A25" w:rsidRDefault="00A24A25" w:rsidP="00C517F8">
      <w:pPr>
        <w:spacing w:after="120" w:line="276" w:lineRule="auto"/>
        <w:ind w:left="0" w:firstLine="0"/>
      </w:pPr>
    </w:p>
    <w:bookmarkEnd w:id="0"/>
    <w:p w14:paraId="4614C1D7" w14:textId="04647716" w:rsidR="00C517F8" w:rsidRDefault="00C517F8" w:rsidP="00D42BBD">
      <w:pPr>
        <w:spacing w:after="120" w:line="276" w:lineRule="auto"/>
        <w:ind w:left="0" w:firstLine="720"/>
      </w:pPr>
      <w:r>
        <w:t>COME</w:t>
      </w:r>
      <w:r w:rsidR="00FE0B98">
        <w:t>S</w:t>
      </w:r>
      <w:r>
        <w:t xml:space="preserve"> NOW Plaintiff, </w:t>
      </w:r>
      <w:r w:rsidR="00FE0B98">
        <w:t xml:space="preserve">Whitetail Creek </w:t>
      </w:r>
      <w:r>
        <w:t xml:space="preserve">Homeowners Association, by and through its counsel, and for its Complaint against </w:t>
      </w:r>
      <w:r w:rsidR="00FE0B98">
        <w:t>Sai Raghu</w:t>
      </w:r>
      <w:r w:rsidR="009E1B4E">
        <w:t xml:space="preserve"> Thota</w:t>
      </w:r>
      <w:r w:rsidR="00FE0B98">
        <w:t xml:space="preserve"> and Joshi Poorva </w:t>
      </w:r>
      <w:r>
        <w:t>state</w:t>
      </w:r>
      <w:r w:rsidR="00C21851">
        <w:t>s</w:t>
      </w:r>
      <w:r>
        <w:t xml:space="preserve"> and alleges as follows:</w:t>
      </w:r>
    </w:p>
    <w:p w14:paraId="255D41D4" w14:textId="77777777" w:rsidR="00C517F8" w:rsidRPr="00D57881" w:rsidRDefault="00C517F8" w:rsidP="00F569F3">
      <w:pPr>
        <w:spacing w:after="120" w:line="276" w:lineRule="auto"/>
        <w:ind w:left="0" w:right="72" w:firstLine="0"/>
        <w:jc w:val="center"/>
        <w:textAlignment w:val="baseline"/>
        <w:rPr>
          <w:color w:val="000000"/>
          <w:spacing w:val="-5"/>
        </w:rPr>
      </w:pPr>
      <w:r w:rsidRPr="00E37D16">
        <w:rPr>
          <w:b/>
          <w:bCs/>
          <w:color w:val="000000"/>
          <w:spacing w:val="-5"/>
        </w:rPr>
        <w:t>Parties</w:t>
      </w:r>
    </w:p>
    <w:p w14:paraId="05B32B00" w14:textId="665AABB5" w:rsidR="00C517F8" w:rsidRDefault="00C517F8" w:rsidP="00D42BBD">
      <w:pPr>
        <w:pStyle w:val="ListParagraph"/>
        <w:numPr>
          <w:ilvl w:val="0"/>
          <w:numId w:val="1"/>
        </w:numPr>
        <w:spacing w:after="120" w:line="276" w:lineRule="auto"/>
        <w:ind w:left="0" w:firstLine="720"/>
        <w:contextualSpacing w:val="0"/>
      </w:pPr>
      <w:r>
        <w:t xml:space="preserve">Plaintiff </w:t>
      </w:r>
      <w:r w:rsidR="00FE0B98">
        <w:t xml:space="preserve">Whitetail Creek </w:t>
      </w:r>
      <w:r>
        <w:t>Homeowners Association</w:t>
      </w:r>
      <w:r w:rsidR="001802AD">
        <w:t xml:space="preserve"> (the “Association”)</w:t>
      </w:r>
      <w:r>
        <w:t xml:space="preserve"> is a Nebraska non-profit corporation with its principal business address at </w:t>
      </w:r>
      <w:r w:rsidR="00287946">
        <w:t>12335 Gold Street, Omaha, NE 68144</w:t>
      </w:r>
      <w:r>
        <w:t xml:space="preserve">. The Association </w:t>
      </w:r>
      <w:r w:rsidR="00F20CD1">
        <w:t>manages and enforces the governing documents</w:t>
      </w:r>
      <w:r>
        <w:t xml:space="preserve"> for the </w:t>
      </w:r>
      <w:r w:rsidR="00FE0B98">
        <w:t xml:space="preserve">Whitetail Creek </w:t>
      </w:r>
      <w:r>
        <w:t xml:space="preserve">subdivision, located in Omaha, </w:t>
      </w:r>
      <w:r w:rsidR="00FE0B98">
        <w:t>Sarpy County</w:t>
      </w:r>
      <w:r>
        <w:t>, Nebraska.</w:t>
      </w:r>
    </w:p>
    <w:p w14:paraId="45854F54" w14:textId="1CE24A1F" w:rsidR="00C517F8" w:rsidRDefault="00C517F8" w:rsidP="00D42BBD">
      <w:pPr>
        <w:pStyle w:val="ListParagraph"/>
        <w:numPr>
          <w:ilvl w:val="0"/>
          <w:numId w:val="1"/>
        </w:numPr>
        <w:spacing w:after="120" w:line="276" w:lineRule="auto"/>
        <w:ind w:left="0" w:firstLine="720"/>
        <w:contextualSpacing w:val="0"/>
      </w:pPr>
      <w:r>
        <w:t>Defendant</w:t>
      </w:r>
      <w:r w:rsidR="00FE0B98">
        <w:t>s</w:t>
      </w:r>
      <w:r>
        <w:t xml:space="preserve"> </w:t>
      </w:r>
      <w:r w:rsidR="00FE0B98">
        <w:t xml:space="preserve">Sai Raghu </w:t>
      </w:r>
      <w:r w:rsidR="009E1B4E">
        <w:t xml:space="preserve">Thota </w:t>
      </w:r>
      <w:r w:rsidR="00FE0B98">
        <w:t xml:space="preserve">and Joshi Poorva </w:t>
      </w:r>
      <w:r w:rsidR="001802AD">
        <w:t xml:space="preserve">(“Defendants”) </w:t>
      </w:r>
      <w:r w:rsidR="00FE0B98">
        <w:t xml:space="preserve">are </w:t>
      </w:r>
      <w:r>
        <w:t>individual</w:t>
      </w:r>
      <w:r w:rsidR="00FE0B98">
        <w:t>s</w:t>
      </w:r>
      <w:r>
        <w:t xml:space="preserve"> and the owner</w:t>
      </w:r>
      <w:r w:rsidR="00FE0B98">
        <w:t>s</w:t>
      </w:r>
      <w:r>
        <w:t xml:space="preserve"> of the real property located at</w:t>
      </w:r>
      <w:r w:rsidR="00FE0B98">
        <w:t xml:space="preserve"> </w:t>
      </w:r>
      <w:bookmarkStart w:id="1" w:name="_Hlk221630544"/>
      <w:r w:rsidR="00FE0B98">
        <w:t>18911 Briar Street</w:t>
      </w:r>
      <w:r>
        <w:t xml:space="preserve">, Omaha, </w:t>
      </w:r>
      <w:r w:rsidR="00FE0B98">
        <w:t xml:space="preserve">Sarpy </w:t>
      </w:r>
      <w:r>
        <w:t>County, Nebraska 681</w:t>
      </w:r>
      <w:r w:rsidR="00FE0B98">
        <w:t>36</w:t>
      </w:r>
      <w:r>
        <w:t xml:space="preserve"> (</w:t>
      </w:r>
      <w:bookmarkEnd w:id="1"/>
      <w:r>
        <w:t xml:space="preserve">the “Property”). </w:t>
      </w:r>
    </w:p>
    <w:p w14:paraId="5E00B00F" w14:textId="24876E2E" w:rsidR="005D4768" w:rsidRDefault="005D4768" w:rsidP="00D42BBD">
      <w:pPr>
        <w:pStyle w:val="ListParagraph"/>
        <w:numPr>
          <w:ilvl w:val="0"/>
          <w:numId w:val="1"/>
        </w:numPr>
        <w:spacing w:after="120" w:line="276" w:lineRule="auto"/>
        <w:ind w:left="0" w:firstLine="720"/>
        <w:contextualSpacing w:val="0"/>
      </w:pPr>
      <w:r w:rsidRPr="005D4768">
        <w:t>Defendant Mortgage Electronic Registration Systems, Inc. (“MERS”), solely as nominee for First Bank d/b/a Belay Bank, claims or may claim an interest in the Property by virtue of that certain Deed of Trust dated December 4, 2019, and recorded December 6, 2019, as Instrument No. 2019-30687, in the Records of Sarpy County, Nebraska.</w:t>
      </w:r>
    </w:p>
    <w:p w14:paraId="723E8A10" w14:textId="4C3E7E1F" w:rsidR="00C03BC1" w:rsidRDefault="00C03BC1" w:rsidP="00D42BBD">
      <w:pPr>
        <w:pStyle w:val="ListParagraph"/>
        <w:numPr>
          <w:ilvl w:val="0"/>
          <w:numId w:val="1"/>
        </w:numPr>
        <w:spacing w:after="120" w:line="276" w:lineRule="auto"/>
        <w:ind w:left="0" w:firstLine="720"/>
        <w:contextualSpacing w:val="0"/>
      </w:pPr>
      <w:r w:rsidRPr="00C03BC1">
        <w:lastRenderedPageBreak/>
        <w:t>Defendant First Bank d/b/a Belay Bank claims or may claim an interest in the Property by virtue of the Deed of Trust described above</w:t>
      </w:r>
      <w:r>
        <w:t>.</w:t>
      </w:r>
    </w:p>
    <w:p w14:paraId="2641296D" w14:textId="77777777" w:rsidR="00C517F8" w:rsidRPr="00CD7C6F" w:rsidRDefault="00C517F8" w:rsidP="00D42BBD">
      <w:pPr>
        <w:spacing w:after="120" w:line="276" w:lineRule="auto"/>
        <w:ind w:left="0" w:right="72" w:firstLine="0"/>
        <w:jc w:val="center"/>
        <w:textAlignment w:val="baseline"/>
        <w:rPr>
          <w:color w:val="000000"/>
        </w:rPr>
      </w:pPr>
      <w:r w:rsidRPr="00E37D16">
        <w:rPr>
          <w:b/>
          <w:bCs/>
          <w:color w:val="000000"/>
        </w:rPr>
        <w:t>Jurisdiction and Venue</w:t>
      </w:r>
    </w:p>
    <w:p w14:paraId="2CDF0142" w14:textId="2ECAB4B1" w:rsidR="00C517F8" w:rsidRDefault="00C517F8" w:rsidP="00D42BBD">
      <w:pPr>
        <w:pStyle w:val="ListParagraph"/>
        <w:numPr>
          <w:ilvl w:val="0"/>
          <w:numId w:val="1"/>
        </w:numPr>
        <w:spacing w:after="120" w:line="276" w:lineRule="auto"/>
        <w:ind w:left="0" w:firstLine="720"/>
        <w:contextualSpacing w:val="0"/>
      </w:pPr>
      <w:r>
        <w:t>Th</w:t>
      </w:r>
      <w:r w:rsidR="005D4768">
        <w:t>is</w:t>
      </w:r>
      <w:r>
        <w:t xml:space="preserve"> Court has personal jurisdiction over Defendant</w:t>
      </w:r>
      <w:r w:rsidR="00FE0B98">
        <w:t>s</w:t>
      </w:r>
      <w:r>
        <w:t xml:space="preserve"> pursuant to Neb. Rev. Stat. § 25-536</w:t>
      </w:r>
      <w:r w:rsidR="009E1B4E">
        <w:t xml:space="preserve"> because Defendants own real property located in Sarpy County, Nebraska, and the claims asserted arise from Defendants’ ownership</w:t>
      </w:r>
      <w:r w:rsidR="005D4768">
        <w:t xml:space="preserve"> and use of that property</w:t>
      </w:r>
      <w:r w:rsidR="009E1B4E">
        <w:t>.</w:t>
      </w:r>
    </w:p>
    <w:p w14:paraId="023FFF79" w14:textId="401F2014" w:rsidR="00C517F8" w:rsidRDefault="00C517F8" w:rsidP="00D42BBD">
      <w:pPr>
        <w:pStyle w:val="ListParagraph"/>
        <w:numPr>
          <w:ilvl w:val="0"/>
          <w:numId w:val="1"/>
        </w:numPr>
        <w:spacing w:after="120" w:line="276" w:lineRule="auto"/>
        <w:ind w:left="0" w:firstLine="720"/>
        <w:contextualSpacing w:val="0"/>
      </w:pPr>
      <w:r>
        <w:t>Th</w:t>
      </w:r>
      <w:r w:rsidR="005D4768">
        <w:t>is</w:t>
      </w:r>
      <w:r>
        <w:t xml:space="preserve"> Court has subject</w:t>
      </w:r>
      <w:r w:rsidR="00F20CD1">
        <w:t>-</w:t>
      </w:r>
      <w:r>
        <w:t>matter jurisdiction over this action pursuant to Neb. Rev. Stat. § 24-</w:t>
      </w:r>
      <w:r w:rsidRPr="008A0902">
        <w:t>302</w:t>
      </w:r>
      <w:r w:rsidR="001E2E79">
        <w:t>.</w:t>
      </w:r>
    </w:p>
    <w:p w14:paraId="6C3864CD" w14:textId="54D4ED49" w:rsidR="00C517F8" w:rsidRDefault="00C517F8" w:rsidP="00D42BBD">
      <w:pPr>
        <w:pStyle w:val="ListParagraph"/>
        <w:numPr>
          <w:ilvl w:val="0"/>
          <w:numId w:val="1"/>
        </w:numPr>
        <w:spacing w:after="120" w:line="276" w:lineRule="auto"/>
        <w:ind w:left="0" w:firstLine="720"/>
        <w:contextualSpacing w:val="0"/>
      </w:pPr>
      <w:r>
        <w:t xml:space="preserve">Venue is proper in this Court pursuant to </w:t>
      </w:r>
      <w:r w:rsidRPr="001E2E79">
        <w:t>Neb. Rev. Stat. § 25-403.01</w:t>
      </w:r>
      <w:r>
        <w:t xml:space="preserve">, as the Property is located in </w:t>
      </w:r>
      <w:r w:rsidR="00FE0B98">
        <w:t xml:space="preserve">Sarpy </w:t>
      </w:r>
      <w:r>
        <w:t xml:space="preserve">County, Nebraska, and the causes of action arose therein. </w:t>
      </w:r>
    </w:p>
    <w:p w14:paraId="4A7FEDE2" w14:textId="5CBACD45" w:rsidR="00C517F8" w:rsidRDefault="009E1B4E" w:rsidP="00D42BBD">
      <w:pPr>
        <w:spacing w:after="120" w:line="276" w:lineRule="auto"/>
        <w:ind w:left="0" w:firstLine="0"/>
        <w:jc w:val="center"/>
        <w:rPr>
          <w:b/>
          <w:bCs/>
        </w:rPr>
      </w:pPr>
      <w:r>
        <w:rPr>
          <w:b/>
          <w:bCs/>
        </w:rPr>
        <w:t>Governing Documents</w:t>
      </w:r>
    </w:p>
    <w:p w14:paraId="00C1F98A" w14:textId="028AE92F" w:rsidR="00F960FF" w:rsidRPr="001802AD" w:rsidRDefault="0087709E" w:rsidP="001802AD">
      <w:pPr>
        <w:pStyle w:val="ListParagraph"/>
        <w:numPr>
          <w:ilvl w:val="0"/>
          <w:numId w:val="1"/>
        </w:numPr>
        <w:spacing w:after="120" w:line="276" w:lineRule="auto"/>
        <w:ind w:left="0" w:firstLine="720"/>
        <w:contextualSpacing w:val="0"/>
        <w:rPr>
          <w:b/>
          <w:bCs/>
        </w:rPr>
      </w:pPr>
      <w:r w:rsidRPr="0087709E">
        <w:t>The Property is subject to the Second Amended and Restated Protective Covenants for Whitetail Creek, recorded on July 19, 2016, in the Office of the Sarpy County Register of Deeds as Instrument No. 2016-17415, as amended by that certain Third Amendment recorded on April 24, 2026, as Instrument No. 202609261 (collectively, the “Covenants”). The Covenants run with the land and are binding upon Defendants</w:t>
      </w:r>
      <w:r w:rsidR="001802AD">
        <w:t>.</w:t>
      </w:r>
      <w:r w:rsidR="00E75970">
        <w:t xml:space="preserve"> (</w:t>
      </w:r>
      <w:r w:rsidR="00E75970" w:rsidRPr="00E75970">
        <w:t xml:space="preserve">A true and correct copy of the Second Amended and Restated Protective Covenants is attached hereto as </w:t>
      </w:r>
      <w:r w:rsidR="00E75970" w:rsidRPr="00E75970">
        <w:rPr>
          <w:b/>
          <w:bCs/>
        </w:rPr>
        <w:t>Exhibit A</w:t>
      </w:r>
      <w:r w:rsidR="00E75970" w:rsidRPr="00E75970">
        <w:t xml:space="preserve">. A true and correct copy of the Third Amendment is attached hereto as </w:t>
      </w:r>
      <w:r w:rsidR="00E75970" w:rsidRPr="00E75970">
        <w:rPr>
          <w:b/>
          <w:bCs/>
        </w:rPr>
        <w:t>Exhibit B</w:t>
      </w:r>
      <w:r w:rsidR="00E75970" w:rsidRPr="00E75970">
        <w:t>.</w:t>
      </w:r>
      <w:r w:rsidR="00E75970">
        <w:t>)</w:t>
      </w:r>
    </w:p>
    <w:p w14:paraId="0F23E38E" w14:textId="3BD14A47" w:rsidR="001802AD" w:rsidRPr="00C91EF3" w:rsidRDefault="001802AD" w:rsidP="001802AD">
      <w:pPr>
        <w:pStyle w:val="ListParagraph"/>
        <w:numPr>
          <w:ilvl w:val="0"/>
          <w:numId w:val="1"/>
        </w:numPr>
        <w:spacing w:after="120" w:line="276" w:lineRule="auto"/>
        <w:ind w:left="0" w:firstLine="720"/>
        <w:contextualSpacing w:val="0"/>
        <w:rPr>
          <w:b/>
          <w:bCs/>
        </w:rPr>
      </w:pPr>
      <w:r>
        <w:t>The Association is also governed by the By-Laws of Whitetail Creek Homeowners Association, Inc. (“Bylaws”), which authorize the Board of Directors to administer the affairs of the Association, levy dues and assessments and enforce the Covenants in accordance with their terms.</w:t>
      </w:r>
      <w:r w:rsidR="00E75970">
        <w:t xml:space="preserve"> (</w:t>
      </w:r>
      <w:r w:rsidR="00E75970" w:rsidRPr="00E75970">
        <w:t xml:space="preserve">A true and correct copy of the Bylaws is attached hereto as </w:t>
      </w:r>
      <w:r w:rsidR="00E75970" w:rsidRPr="00E75970">
        <w:rPr>
          <w:b/>
          <w:bCs/>
        </w:rPr>
        <w:t>Exhibit C</w:t>
      </w:r>
      <w:r w:rsidR="00E75970">
        <w:t>.)</w:t>
      </w:r>
    </w:p>
    <w:p w14:paraId="730A3CE0" w14:textId="3E7AFA60" w:rsidR="00C91EF3" w:rsidRPr="0087709E" w:rsidRDefault="00C91EF3" w:rsidP="001802AD">
      <w:pPr>
        <w:pStyle w:val="ListParagraph"/>
        <w:numPr>
          <w:ilvl w:val="0"/>
          <w:numId w:val="1"/>
        </w:numPr>
        <w:spacing w:after="120" w:line="276" w:lineRule="auto"/>
        <w:ind w:left="0" w:firstLine="720"/>
        <w:contextualSpacing w:val="0"/>
      </w:pPr>
      <w:r w:rsidRPr="0087709E">
        <w:t>On April 24, 2026, Celebrity Homes, Inc., as Declarant, executed and recorded an Assignment and Assumption of Declarant Rights in favor of the Association in the Office of the Register of Deeds of Sarpy County, Nebraska as Instrument No. 202609260.</w:t>
      </w:r>
      <w:r w:rsidR="00E75970">
        <w:t xml:space="preserve"> (</w:t>
      </w:r>
      <w:r w:rsidR="00E75970" w:rsidRPr="00E75970">
        <w:t xml:space="preserve">A true and correct copy of the Assignment and Assumption of Declarant Rights is attached hereto as </w:t>
      </w:r>
      <w:r w:rsidR="00E75970" w:rsidRPr="00E75970">
        <w:rPr>
          <w:b/>
          <w:bCs/>
        </w:rPr>
        <w:t>Exhibit D</w:t>
      </w:r>
      <w:r w:rsidR="00E75970">
        <w:t>.)</w:t>
      </w:r>
    </w:p>
    <w:p w14:paraId="14A71B2F" w14:textId="13EA837C" w:rsidR="00F960FF" w:rsidRPr="00F960FF" w:rsidRDefault="00F960FF" w:rsidP="00F960FF">
      <w:pPr>
        <w:spacing w:after="120" w:line="276" w:lineRule="auto"/>
        <w:ind w:left="0" w:firstLine="0"/>
        <w:jc w:val="center"/>
        <w:rPr>
          <w:b/>
          <w:bCs/>
        </w:rPr>
      </w:pPr>
      <w:r>
        <w:rPr>
          <w:b/>
          <w:bCs/>
        </w:rPr>
        <w:t>FACTUAL ALLEGATIONS</w:t>
      </w:r>
    </w:p>
    <w:p w14:paraId="22099F49" w14:textId="2EE8139E" w:rsidR="00ED0B08" w:rsidRDefault="00DA37DE" w:rsidP="00ED0B08">
      <w:pPr>
        <w:pStyle w:val="ListParagraph"/>
        <w:numPr>
          <w:ilvl w:val="0"/>
          <w:numId w:val="1"/>
        </w:numPr>
        <w:spacing w:after="120" w:line="276" w:lineRule="auto"/>
        <w:ind w:left="0" w:firstLine="720"/>
        <w:contextualSpacing w:val="0"/>
      </w:pPr>
      <w:r w:rsidRPr="00DA37DE">
        <w:lastRenderedPageBreak/>
        <w:t>Defendants have used</w:t>
      </w:r>
      <w:r>
        <w:t xml:space="preserve"> and, upon information and belief, </w:t>
      </w:r>
      <w:r w:rsidRPr="00DA37DE">
        <w:t>continue to use the Property as a short-term rental, advertising the Property on online booking platforms and renting it to transient occupants in exchange for compensation, including for periods of less than thirty (30) consecutive days</w:t>
      </w:r>
      <w:r w:rsidR="00ED0B08" w:rsidRPr="00ED0B08">
        <w:t>.</w:t>
      </w:r>
    </w:p>
    <w:p w14:paraId="6A71777D" w14:textId="0EED1694" w:rsidR="00CD65CF" w:rsidRDefault="00CD65CF" w:rsidP="00ED0B08">
      <w:pPr>
        <w:pStyle w:val="ListParagraph"/>
        <w:numPr>
          <w:ilvl w:val="0"/>
          <w:numId w:val="1"/>
        </w:numPr>
        <w:spacing w:after="120" w:line="276" w:lineRule="auto"/>
        <w:ind w:left="0" w:firstLine="720"/>
        <w:contextualSpacing w:val="0"/>
      </w:pPr>
      <w:r>
        <w:t>On December 30, 2023, law enforcement responded to the Property for a loud party and noise complaints.</w:t>
      </w:r>
    </w:p>
    <w:p w14:paraId="4EC8A7FD" w14:textId="62A44909" w:rsidR="00CD65CF" w:rsidRDefault="00CD65CF" w:rsidP="00ED0B08">
      <w:pPr>
        <w:pStyle w:val="ListParagraph"/>
        <w:numPr>
          <w:ilvl w:val="0"/>
          <w:numId w:val="1"/>
        </w:numPr>
        <w:spacing w:after="120" w:line="276" w:lineRule="auto"/>
        <w:ind w:left="0" w:firstLine="720"/>
        <w:contextualSpacing w:val="0"/>
      </w:pPr>
      <w:r>
        <w:t>On December 31, 2023, law enforcement again responded to the Property for a separate large party and noise complaints.</w:t>
      </w:r>
    </w:p>
    <w:p w14:paraId="41B8D8CC" w14:textId="7B8B10F7" w:rsidR="00CD65CF" w:rsidRDefault="00CD65CF" w:rsidP="00ED0B08">
      <w:pPr>
        <w:pStyle w:val="ListParagraph"/>
        <w:numPr>
          <w:ilvl w:val="0"/>
          <w:numId w:val="1"/>
        </w:numPr>
        <w:spacing w:after="120" w:line="276" w:lineRule="auto"/>
        <w:ind w:left="0" w:firstLine="720"/>
        <w:contextualSpacing w:val="0"/>
      </w:pPr>
      <w:r>
        <w:t>On April 21, 2024, law enforcement conducted a major response at the Property</w:t>
      </w:r>
      <w:r w:rsidR="00AA0A97">
        <w:t>,</w:t>
      </w:r>
      <w:r>
        <w:t xml:space="preserve"> including deployment of a SWAT unit. Firearms, narcotics, and other illegal items were seized, more than one hundred juveniles were present, and multiple arrests were made.</w:t>
      </w:r>
    </w:p>
    <w:p w14:paraId="7A860B30" w14:textId="7F148943" w:rsidR="00CD65CF" w:rsidRDefault="00DA37DE" w:rsidP="00ED0B08">
      <w:pPr>
        <w:pStyle w:val="ListParagraph"/>
        <w:numPr>
          <w:ilvl w:val="0"/>
          <w:numId w:val="1"/>
        </w:numPr>
        <w:spacing w:after="120" w:line="276" w:lineRule="auto"/>
        <w:ind w:left="0" w:firstLine="720"/>
        <w:contextualSpacing w:val="0"/>
      </w:pPr>
      <w:r w:rsidRPr="00DA37DE">
        <w:t>Following the April 21, 2024 incident, debris, garbage, alcohol containers, and drug paraphernalia were left scattered across the Property and neighboring properties, requiring remediation and creating ongoing nuisance conditions within the subdivision</w:t>
      </w:r>
      <w:r w:rsidR="00CD65CF">
        <w:t>.</w:t>
      </w:r>
    </w:p>
    <w:p w14:paraId="1D7341FC" w14:textId="5BBB5CEE" w:rsidR="00CD65CF" w:rsidRDefault="00972B26" w:rsidP="00ED0B08">
      <w:pPr>
        <w:pStyle w:val="ListParagraph"/>
        <w:numPr>
          <w:ilvl w:val="0"/>
          <w:numId w:val="1"/>
        </w:numPr>
        <w:spacing w:after="120" w:line="276" w:lineRule="auto"/>
        <w:ind w:left="0" w:firstLine="720"/>
        <w:contextualSpacing w:val="0"/>
      </w:pPr>
      <w:r w:rsidRPr="00972B26">
        <w:t>As a result of the April 21, 2024 incident and its aftermath, the Association assessed fines totaling $3,000 against Defendants for nuisance violations, property maintenance violations, and debris and appearance violations</w:t>
      </w:r>
      <w:r w:rsidR="00CD65CF">
        <w:t>.</w:t>
      </w:r>
    </w:p>
    <w:p w14:paraId="1A1FEEDD" w14:textId="16B86D67" w:rsidR="00CD65CF" w:rsidRDefault="00CD65CF" w:rsidP="00ED0B08">
      <w:pPr>
        <w:pStyle w:val="ListParagraph"/>
        <w:numPr>
          <w:ilvl w:val="0"/>
          <w:numId w:val="1"/>
        </w:numPr>
        <w:spacing w:after="120" w:line="276" w:lineRule="auto"/>
        <w:ind w:left="0" w:firstLine="720"/>
        <w:contextualSpacing w:val="0"/>
      </w:pPr>
      <w:r>
        <w:t>On July 25, 2024, law enforcement again responded to disturbances at the Property.</w:t>
      </w:r>
    </w:p>
    <w:p w14:paraId="00A7359B" w14:textId="56263343" w:rsidR="00CD65CF" w:rsidRDefault="00CD65CF" w:rsidP="00ED0B08">
      <w:pPr>
        <w:pStyle w:val="ListParagraph"/>
        <w:numPr>
          <w:ilvl w:val="0"/>
          <w:numId w:val="1"/>
        </w:numPr>
        <w:spacing w:after="120" w:line="276" w:lineRule="auto"/>
        <w:ind w:left="0" w:firstLine="720"/>
        <w:contextualSpacing w:val="0"/>
      </w:pPr>
      <w:r>
        <w:t>On December 7, 2024, law enforcement responded to additional disruptive activity at the Property.</w:t>
      </w:r>
    </w:p>
    <w:p w14:paraId="69A89ED2" w14:textId="6D71D6EE" w:rsidR="00CD65CF" w:rsidRDefault="00972B26" w:rsidP="00ED0B08">
      <w:pPr>
        <w:pStyle w:val="ListParagraph"/>
        <w:numPr>
          <w:ilvl w:val="0"/>
          <w:numId w:val="1"/>
        </w:numPr>
        <w:spacing w:after="120" w:line="276" w:lineRule="auto"/>
        <w:ind w:left="0" w:firstLine="720"/>
        <w:contextualSpacing w:val="0"/>
      </w:pPr>
      <w:r w:rsidRPr="00972B26">
        <w:t>On March 22, 2025, law enforcement again responded to disturbances associated with the Property</w:t>
      </w:r>
      <w:r w:rsidR="00CD65CF">
        <w:t>.</w:t>
      </w:r>
    </w:p>
    <w:p w14:paraId="541D00A2" w14:textId="081C3B18" w:rsidR="00AE62EE" w:rsidRDefault="00972B26" w:rsidP="00ED0B08">
      <w:pPr>
        <w:pStyle w:val="ListParagraph"/>
        <w:numPr>
          <w:ilvl w:val="0"/>
          <w:numId w:val="1"/>
        </w:numPr>
        <w:spacing w:after="120" w:line="276" w:lineRule="auto"/>
        <w:ind w:left="0" w:firstLine="720"/>
        <w:contextualSpacing w:val="0"/>
      </w:pPr>
      <w:r w:rsidRPr="00972B26">
        <w:t>In addition to the repeated nuisance activity, Defendants failed to pay mandatory Association dues and assessments over multiple years, including dues assessed for 2020, 2022, 2023, 2024, and 2025</w:t>
      </w:r>
      <w:r w:rsidR="00AE62EE" w:rsidRPr="00AE62EE">
        <w:t>.</w:t>
      </w:r>
    </w:p>
    <w:p w14:paraId="231AA075" w14:textId="7AA296DA" w:rsidR="00295C23" w:rsidRPr="00F56F52" w:rsidRDefault="00DA37DE" w:rsidP="00ED0B08">
      <w:pPr>
        <w:pStyle w:val="ListParagraph"/>
        <w:numPr>
          <w:ilvl w:val="0"/>
          <w:numId w:val="1"/>
        </w:numPr>
        <w:spacing w:after="120" w:line="276" w:lineRule="auto"/>
        <w:ind w:left="0" w:firstLine="720"/>
        <w:contextualSpacing w:val="0"/>
      </w:pPr>
      <w:r w:rsidRPr="00DA37DE">
        <w:t>As of August 14, 2025, Defendants owed the Association unpaid dues and assessments that were subsequently secured by the recorded lien described below</w:t>
      </w:r>
      <w:r w:rsidR="00204D30" w:rsidRPr="00F56F52">
        <w:t>.</w:t>
      </w:r>
    </w:p>
    <w:p w14:paraId="48E2A12E" w14:textId="25298672" w:rsidR="00CE5C43" w:rsidRDefault="00972B26" w:rsidP="00ED0B08">
      <w:pPr>
        <w:pStyle w:val="ListParagraph"/>
        <w:numPr>
          <w:ilvl w:val="0"/>
          <w:numId w:val="1"/>
        </w:numPr>
        <w:spacing w:after="120" w:line="276" w:lineRule="auto"/>
        <w:ind w:left="0" w:firstLine="720"/>
        <w:contextualSpacing w:val="0"/>
      </w:pPr>
      <w:r w:rsidRPr="00972B26">
        <w:lastRenderedPageBreak/>
        <w:t xml:space="preserve">On August 14, 2025, the Association recorded a Notice of Homeowners Association Lien against the Property in the amount of $913.25, securing unpaid dues and assessments then owed, together with interest accruing at the rate of sixteen percent (16%) per annum and </w:t>
      </w:r>
      <w:r w:rsidR="00DA37DE" w:rsidRPr="00DA37DE">
        <w:t xml:space="preserve">recoverable costs and reasonable attorney’s fees </w:t>
      </w:r>
      <w:r w:rsidRPr="00972B26">
        <w:t>as authorized by the Covenants and Neb. Rev. Stat. § 52-2001</w:t>
      </w:r>
      <w:r w:rsidR="001F0AB0">
        <w:t>.</w:t>
      </w:r>
      <w:r w:rsidR="00E75970">
        <w:t xml:space="preserve"> (</w:t>
      </w:r>
      <w:r w:rsidR="00E75970" w:rsidRPr="00E75970">
        <w:t xml:space="preserve">A true and correct copy of the Notice of Homeowners Association Lien is attached hereto as </w:t>
      </w:r>
      <w:r w:rsidR="00E75970" w:rsidRPr="00E75970">
        <w:rPr>
          <w:b/>
          <w:bCs/>
        </w:rPr>
        <w:t>Exhibit E</w:t>
      </w:r>
      <w:r w:rsidR="00E75970">
        <w:t>.)</w:t>
      </w:r>
    </w:p>
    <w:p w14:paraId="7CC77813" w14:textId="029F62FF" w:rsidR="00DA2380" w:rsidRDefault="00972B26" w:rsidP="00ED0B08">
      <w:pPr>
        <w:pStyle w:val="ListParagraph"/>
        <w:numPr>
          <w:ilvl w:val="0"/>
          <w:numId w:val="1"/>
        </w:numPr>
        <w:spacing w:after="120" w:line="276" w:lineRule="auto"/>
        <w:ind w:left="0" w:firstLine="720"/>
        <w:contextualSpacing w:val="0"/>
      </w:pPr>
      <w:r w:rsidRPr="00972B26">
        <w:t>In connection with recording the lien, the Association incurred a $100.00 lien recording fee, which was charged to Defendants as an enforcement cost recoverable under the Covenants and applicable law</w:t>
      </w:r>
      <w:r w:rsidR="00DA2380">
        <w:t>.</w:t>
      </w:r>
    </w:p>
    <w:p w14:paraId="20A543F1" w14:textId="01374675" w:rsidR="00C44BCD" w:rsidRDefault="00972B26" w:rsidP="00C44BCD">
      <w:pPr>
        <w:pStyle w:val="ListParagraph"/>
        <w:numPr>
          <w:ilvl w:val="0"/>
          <w:numId w:val="1"/>
        </w:numPr>
        <w:spacing w:after="120" w:line="276" w:lineRule="auto"/>
        <w:ind w:left="0" w:firstLine="720"/>
        <w:contextualSpacing w:val="0"/>
      </w:pPr>
      <w:r w:rsidRPr="00972B26">
        <w:t>On October 19, 2025, law enforcement again conducted a major response at the Property, including a second SWAT deployment and multiple arrests. Additional nuisance fines totaling $2,000 were assessed</w:t>
      </w:r>
      <w:r w:rsidR="00C44BCD">
        <w:t>.</w:t>
      </w:r>
    </w:p>
    <w:p w14:paraId="2A5CC9A1" w14:textId="0C5AE7AD" w:rsidR="00A315FF" w:rsidRDefault="00972B26" w:rsidP="00A315FF">
      <w:pPr>
        <w:pStyle w:val="ListParagraph"/>
        <w:numPr>
          <w:ilvl w:val="0"/>
          <w:numId w:val="1"/>
        </w:numPr>
        <w:spacing w:after="120" w:line="276" w:lineRule="auto"/>
        <w:ind w:left="0" w:firstLine="720"/>
        <w:contextualSpacing w:val="0"/>
      </w:pPr>
      <w:r w:rsidRPr="00972B26">
        <w:t>Throughout this period, the Property was identified by the Sarpy County Sheriff’s Office as a recurring problem location involving large gatherings, drug activity, weapons, and repeated disturbances</w:t>
      </w:r>
      <w:r w:rsidR="00A315FF">
        <w:t>.</w:t>
      </w:r>
    </w:p>
    <w:p w14:paraId="05AD0A3C" w14:textId="77083F03" w:rsidR="00CD65CF" w:rsidRDefault="00972B26" w:rsidP="00ED0B08">
      <w:pPr>
        <w:pStyle w:val="ListParagraph"/>
        <w:numPr>
          <w:ilvl w:val="0"/>
          <w:numId w:val="1"/>
        </w:numPr>
        <w:spacing w:after="120" w:line="276" w:lineRule="auto"/>
        <w:ind w:left="0" w:firstLine="720"/>
        <w:contextualSpacing w:val="0"/>
      </w:pPr>
      <w:r w:rsidRPr="00972B26">
        <w:t>On November 7, 2025, the Association, through counsel, sent Defendants a written cease-and-desist letter advising them that operation of the Property as a short-term rental violated the Covenants and demanding immediate cessation</w:t>
      </w:r>
      <w:r w:rsidR="00CD65CF">
        <w:t>.</w:t>
      </w:r>
      <w:r w:rsidR="00E75970">
        <w:t xml:space="preserve"> (</w:t>
      </w:r>
      <w:r w:rsidR="00E75970" w:rsidRPr="00E75970">
        <w:t xml:space="preserve">A true and correct copy of the cease-and-desist letter is attached hereto as </w:t>
      </w:r>
      <w:r w:rsidR="00E75970" w:rsidRPr="00E75970">
        <w:rPr>
          <w:b/>
          <w:bCs/>
        </w:rPr>
        <w:t>Exhibit F</w:t>
      </w:r>
      <w:r w:rsidR="00E75970">
        <w:t>.)</w:t>
      </w:r>
    </w:p>
    <w:p w14:paraId="3318AE31" w14:textId="6A8B3ED9" w:rsidR="00CD65CF" w:rsidRDefault="00972B26" w:rsidP="00ED0B08">
      <w:pPr>
        <w:pStyle w:val="ListParagraph"/>
        <w:numPr>
          <w:ilvl w:val="0"/>
          <w:numId w:val="1"/>
        </w:numPr>
        <w:spacing w:after="120" w:line="276" w:lineRule="auto"/>
        <w:ind w:left="0" w:firstLine="720"/>
        <w:contextualSpacing w:val="0"/>
      </w:pPr>
      <w:r w:rsidRPr="00972B26">
        <w:t>Defendants failed to comply with the cease-and-desist letter and have continued to operate the Property as a short-term rental</w:t>
      </w:r>
      <w:r w:rsidR="00CD65CF">
        <w:t>.</w:t>
      </w:r>
    </w:p>
    <w:p w14:paraId="25DFCDCA" w14:textId="348236CF" w:rsidR="004E4A29" w:rsidRPr="00972B26" w:rsidRDefault="00972B26" w:rsidP="00ED0B08">
      <w:pPr>
        <w:pStyle w:val="ListParagraph"/>
        <w:numPr>
          <w:ilvl w:val="0"/>
          <w:numId w:val="1"/>
        </w:numPr>
        <w:spacing w:after="120" w:line="276" w:lineRule="auto"/>
        <w:ind w:left="0" w:firstLine="720"/>
        <w:contextualSpacing w:val="0"/>
      </w:pPr>
      <w:r w:rsidRPr="00972B26">
        <w:t>After recordation of the lien, Defendants incurred additional unpaid charges, including $105.00 in annual dues assessed on January 1, 2026</w:t>
      </w:r>
      <w:r w:rsidR="004E4A29" w:rsidRPr="00972B26">
        <w:t>.</w:t>
      </w:r>
    </w:p>
    <w:p w14:paraId="36D73858" w14:textId="28B9931F" w:rsidR="00ED0B08" w:rsidRPr="00972B26" w:rsidRDefault="004E4A29" w:rsidP="00ED0B08">
      <w:pPr>
        <w:pStyle w:val="ListParagraph"/>
        <w:numPr>
          <w:ilvl w:val="0"/>
          <w:numId w:val="1"/>
        </w:numPr>
        <w:spacing w:after="120" w:line="276" w:lineRule="auto"/>
        <w:ind w:left="0" w:firstLine="720"/>
        <w:contextualSpacing w:val="0"/>
      </w:pPr>
      <w:r w:rsidRPr="00972B26">
        <w:t>As of the filing of this action, Defendants owe the Association:</w:t>
      </w:r>
    </w:p>
    <w:p w14:paraId="3FF5DA1C" w14:textId="2845A44C" w:rsidR="004E4A29" w:rsidRPr="00972B26" w:rsidRDefault="00DA37DE" w:rsidP="004E4A29">
      <w:pPr>
        <w:pStyle w:val="ListParagraph"/>
        <w:numPr>
          <w:ilvl w:val="1"/>
          <w:numId w:val="1"/>
        </w:numPr>
        <w:spacing w:after="120" w:line="276" w:lineRule="auto"/>
        <w:contextualSpacing w:val="0"/>
      </w:pPr>
      <w:r w:rsidRPr="00DA37DE">
        <w:t>$783.25 in unpaid dues and assessments that fall within the statutory period for lien enforcement and are subject to foreclosure, together with interest accruing at the rate of sixteen percent (16%) per annum</w:t>
      </w:r>
      <w:r w:rsidR="00382009" w:rsidRPr="00972B26">
        <w:t>;</w:t>
      </w:r>
    </w:p>
    <w:p w14:paraId="2AE8CE01" w14:textId="0EE5B742" w:rsidR="00382009" w:rsidRPr="00972B26" w:rsidRDefault="00972B26" w:rsidP="004E4A29">
      <w:pPr>
        <w:pStyle w:val="ListParagraph"/>
        <w:numPr>
          <w:ilvl w:val="1"/>
          <w:numId w:val="1"/>
        </w:numPr>
        <w:spacing w:after="120" w:line="276" w:lineRule="auto"/>
        <w:contextualSpacing w:val="0"/>
      </w:pPr>
      <w:r w:rsidRPr="00972B26">
        <w:t>$130.00 in unpaid dues and assessments that fall outside the statutory period for lien enforcement</w:t>
      </w:r>
      <w:r w:rsidR="00382009" w:rsidRPr="00972B26">
        <w:t>;</w:t>
      </w:r>
    </w:p>
    <w:p w14:paraId="5B5D3850" w14:textId="02E65866" w:rsidR="00382009" w:rsidRPr="00972B26" w:rsidRDefault="00382009" w:rsidP="004E4A29">
      <w:pPr>
        <w:pStyle w:val="ListParagraph"/>
        <w:numPr>
          <w:ilvl w:val="1"/>
          <w:numId w:val="1"/>
        </w:numPr>
        <w:spacing w:after="120" w:line="276" w:lineRule="auto"/>
        <w:contextualSpacing w:val="0"/>
      </w:pPr>
      <w:r w:rsidRPr="00972B26">
        <w:lastRenderedPageBreak/>
        <w:t>$3,000 in nuisance fines assessed following the April 21, 2024</w:t>
      </w:r>
      <w:r w:rsidR="00AD210F" w:rsidRPr="00972B26">
        <w:t>,</w:t>
      </w:r>
      <w:r w:rsidRPr="00972B26">
        <w:t xml:space="preserve"> incident; </w:t>
      </w:r>
    </w:p>
    <w:p w14:paraId="51FDD937" w14:textId="68EA5514" w:rsidR="00382009" w:rsidRPr="00972B26" w:rsidRDefault="00382009" w:rsidP="004E4A29">
      <w:pPr>
        <w:pStyle w:val="ListParagraph"/>
        <w:numPr>
          <w:ilvl w:val="1"/>
          <w:numId w:val="1"/>
        </w:numPr>
        <w:spacing w:after="120" w:line="276" w:lineRule="auto"/>
        <w:contextualSpacing w:val="0"/>
      </w:pPr>
      <w:r w:rsidRPr="00972B26">
        <w:t>$2,000 in nuisance fines assessed following the October 19, 2025</w:t>
      </w:r>
      <w:r w:rsidR="00AD210F" w:rsidRPr="00972B26">
        <w:t>,</w:t>
      </w:r>
      <w:r w:rsidRPr="00972B26">
        <w:t xml:space="preserve"> incident</w:t>
      </w:r>
      <w:r w:rsidR="00972B26" w:rsidRPr="00972B26">
        <w:t xml:space="preserve">; </w:t>
      </w:r>
    </w:p>
    <w:p w14:paraId="73C5E65C" w14:textId="184882A4" w:rsidR="00972B26" w:rsidRPr="00972B26" w:rsidRDefault="00972B26" w:rsidP="004E4A29">
      <w:pPr>
        <w:pStyle w:val="ListParagraph"/>
        <w:numPr>
          <w:ilvl w:val="1"/>
          <w:numId w:val="1"/>
        </w:numPr>
        <w:spacing w:after="120" w:line="276" w:lineRule="auto"/>
        <w:contextualSpacing w:val="0"/>
      </w:pPr>
      <w:r w:rsidRPr="00972B26">
        <w:t>$105.00 in post-lien dues and assessments; and</w:t>
      </w:r>
    </w:p>
    <w:p w14:paraId="19673881" w14:textId="4D0674E7" w:rsidR="00972B26" w:rsidRDefault="00972B26" w:rsidP="004E4A29">
      <w:pPr>
        <w:pStyle w:val="ListParagraph"/>
        <w:numPr>
          <w:ilvl w:val="1"/>
          <w:numId w:val="1"/>
        </w:numPr>
        <w:spacing w:after="120" w:line="276" w:lineRule="auto"/>
        <w:contextualSpacing w:val="0"/>
      </w:pPr>
      <w:r w:rsidRPr="00972B26">
        <w:t>$100.00 in lien-related costs.</w:t>
      </w:r>
    </w:p>
    <w:p w14:paraId="027327FE" w14:textId="65A3E5DF" w:rsidR="00E75970" w:rsidRPr="00972B26" w:rsidRDefault="00E75970" w:rsidP="00DF5B2D">
      <w:pPr>
        <w:spacing w:after="120" w:line="276" w:lineRule="auto"/>
        <w:ind w:left="1080" w:firstLine="0"/>
      </w:pPr>
      <w:r>
        <w:t>(</w:t>
      </w:r>
      <w:r w:rsidRPr="00E75970">
        <w:t xml:space="preserve">A true and correct copy of the Association’s account statement reflecting amounts owed is attached hereto as </w:t>
      </w:r>
      <w:r w:rsidRPr="00DF5B2D">
        <w:rPr>
          <w:b/>
          <w:bCs/>
        </w:rPr>
        <w:t>Exhibit G</w:t>
      </w:r>
      <w:r>
        <w:t>.)</w:t>
      </w:r>
    </w:p>
    <w:p w14:paraId="739A382E" w14:textId="10E5A5D5" w:rsidR="00ED0B08" w:rsidRPr="00ED0B08" w:rsidRDefault="00972B26" w:rsidP="00ED0B08">
      <w:pPr>
        <w:pStyle w:val="ListParagraph"/>
        <w:numPr>
          <w:ilvl w:val="0"/>
          <w:numId w:val="1"/>
        </w:numPr>
        <w:spacing w:after="120" w:line="276" w:lineRule="auto"/>
        <w:ind w:left="0" w:firstLine="720"/>
        <w:contextualSpacing w:val="0"/>
      </w:pPr>
      <w:r w:rsidRPr="00972B26">
        <w:t>Defendants have failed and refused to cure the violations, pay the amounts owed, or otherwise comply with the Covenants and Bylaws</w:t>
      </w:r>
      <w:r w:rsidR="00ED0B08">
        <w:t>.</w:t>
      </w:r>
    </w:p>
    <w:p w14:paraId="444D046D" w14:textId="0197FB8F" w:rsidR="00ED0B08" w:rsidRDefault="00ED0B08" w:rsidP="00ED0B08">
      <w:pPr>
        <w:spacing w:after="120" w:line="276" w:lineRule="auto"/>
        <w:ind w:left="0" w:firstLine="0"/>
        <w:jc w:val="center"/>
        <w:rPr>
          <w:b/>
          <w:bCs/>
        </w:rPr>
      </w:pPr>
      <w:r>
        <w:rPr>
          <w:b/>
          <w:bCs/>
        </w:rPr>
        <w:t>COUNT I</w:t>
      </w:r>
    </w:p>
    <w:p w14:paraId="40B5FB27" w14:textId="2F3F57AE" w:rsidR="00ED0B08" w:rsidRPr="00ED0B08" w:rsidRDefault="00ED0B08" w:rsidP="00ED0B08">
      <w:pPr>
        <w:spacing w:after="120" w:line="276" w:lineRule="auto"/>
        <w:ind w:left="0" w:firstLine="0"/>
        <w:jc w:val="center"/>
        <w:rPr>
          <w:b/>
          <w:bCs/>
        </w:rPr>
      </w:pPr>
      <w:r>
        <w:rPr>
          <w:b/>
          <w:bCs/>
        </w:rPr>
        <w:t>BREACH OF RESTRICTIVE COVENANTS AND NUISANCE</w:t>
      </w:r>
    </w:p>
    <w:p w14:paraId="108F45A3" w14:textId="5C490FA0" w:rsidR="00ED0B08" w:rsidRPr="00ED0B08" w:rsidRDefault="00ED0B08" w:rsidP="00ED0B08">
      <w:pPr>
        <w:pStyle w:val="ListParagraph"/>
        <w:numPr>
          <w:ilvl w:val="0"/>
          <w:numId w:val="1"/>
        </w:numPr>
        <w:spacing w:after="120" w:line="276" w:lineRule="auto"/>
        <w:ind w:left="0" w:firstLine="720"/>
        <w:contextualSpacing w:val="0"/>
        <w:rPr>
          <w:b/>
          <w:bCs/>
        </w:rPr>
      </w:pPr>
      <w:r>
        <w:t>Plaintiff incorporates by reference the preceding paragraphs as if fully set forth herein.</w:t>
      </w:r>
    </w:p>
    <w:p w14:paraId="67D1722F" w14:textId="0CEA38BC" w:rsidR="00C517F8" w:rsidRPr="00ED0B08" w:rsidRDefault="001802AD" w:rsidP="00ED0B08">
      <w:pPr>
        <w:pStyle w:val="ListParagraph"/>
        <w:numPr>
          <w:ilvl w:val="0"/>
          <w:numId w:val="1"/>
        </w:numPr>
        <w:spacing w:after="120" w:line="276" w:lineRule="auto"/>
        <w:ind w:left="0" w:firstLine="720"/>
        <w:contextualSpacing w:val="0"/>
        <w:rPr>
          <w:b/>
          <w:bCs/>
        </w:rPr>
      </w:pPr>
      <w:r>
        <w:t>Section 1 “Permitted Uses” of the Covenants provides, in relevant part:</w:t>
      </w:r>
    </w:p>
    <w:p w14:paraId="496C1C05" w14:textId="539F5B09" w:rsidR="001802AD" w:rsidRPr="001802AD" w:rsidRDefault="001802AD" w:rsidP="001802AD">
      <w:pPr>
        <w:pStyle w:val="ListParagraph"/>
        <w:spacing w:after="120" w:line="276" w:lineRule="auto"/>
        <w:ind w:left="1440" w:firstLine="0"/>
        <w:contextualSpacing w:val="0"/>
      </w:pPr>
      <w:r>
        <w:t>“No lot shall be used except for residential purposes, schools or churches… No obnoxious or offensive activity shall be carried on upon any lot nor shall anything be done thereon which may be or become an annoyance to the neighborhood.”</w:t>
      </w:r>
    </w:p>
    <w:p w14:paraId="254F70D8" w14:textId="6BA23C32" w:rsidR="00A3323D" w:rsidRPr="00A3323D" w:rsidRDefault="00A3323D" w:rsidP="00D42BBD">
      <w:pPr>
        <w:pStyle w:val="ListParagraph"/>
        <w:numPr>
          <w:ilvl w:val="0"/>
          <w:numId w:val="1"/>
        </w:numPr>
        <w:spacing w:after="120" w:line="276" w:lineRule="auto"/>
        <w:ind w:left="0" w:firstLine="720"/>
        <w:contextualSpacing w:val="0"/>
        <w:rPr>
          <w:b/>
          <w:bCs/>
        </w:rPr>
      </w:pPr>
      <w:r>
        <w:t>Section 1A “Leasing of Lots” of the Covenants provides, in relevant part:</w:t>
      </w:r>
    </w:p>
    <w:p w14:paraId="07B47812" w14:textId="2D53C2B1" w:rsidR="00A3323D" w:rsidRPr="00A3323D" w:rsidRDefault="00A3323D" w:rsidP="00A3323D">
      <w:pPr>
        <w:pStyle w:val="ListParagraph"/>
        <w:spacing w:after="120" w:line="276" w:lineRule="auto"/>
        <w:ind w:left="1440" w:firstLine="0"/>
        <w:contextualSpacing w:val="0"/>
        <w:rPr>
          <w:b/>
          <w:bCs/>
        </w:rPr>
      </w:pPr>
      <w:r>
        <w:t xml:space="preserve">“No </w:t>
      </w:r>
      <w:r w:rsidRPr="00A3323D">
        <w:t>Lot or Dwelling shall be leased for a term of less than thirty (30) consecutive days, and all short-term or transient rentals are strictly prohibited. No Owner shall advertise, list, or otherwise offer any Lot or dwelling for rental for a period of less than thirty (30) consecutive days…</w:t>
      </w:r>
      <w:r>
        <w:t>”</w:t>
      </w:r>
    </w:p>
    <w:p w14:paraId="2318D50A" w14:textId="67C93E80" w:rsidR="00ED0B08" w:rsidRPr="00ED0B08" w:rsidRDefault="00A3323D" w:rsidP="00D42BBD">
      <w:pPr>
        <w:pStyle w:val="ListParagraph"/>
        <w:numPr>
          <w:ilvl w:val="0"/>
          <w:numId w:val="1"/>
        </w:numPr>
        <w:spacing w:after="120" w:line="276" w:lineRule="auto"/>
        <w:ind w:left="0" w:firstLine="720"/>
        <w:contextualSpacing w:val="0"/>
        <w:rPr>
          <w:b/>
          <w:bCs/>
        </w:rPr>
      </w:pPr>
      <w:r w:rsidRPr="00A3323D">
        <w:t>Defendants have breached the Covenants by operating the Property as a short-term rental for transient occupants, including rentals for periods of less than thirty (30) consecutive days, and by advertising</w:t>
      </w:r>
      <w:r>
        <w:t xml:space="preserve"> and continuing to advertise</w:t>
      </w:r>
      <w:r w:rsidRPr="00A3323D">
        <w:t xml:space="preserve"> the Property for such use</w:t>
      </w:r>
      <w:r w:rsidR="00ED0B08">
        <w:t>.</w:t>
      </w:r>
    </w:p>
    <w:p w14:paraId="2C1FCD55" w14:textId="1E5514B7" w:rsidR="00ED0B08" w:rsidRPr="00ED0B08" w:rsidRDefault="00A3323D" w:rsidP="00D42BBD">
      <w:pPr>
        <w:pStyle w:val="ListParagraph"/>
        <w:numPr>
          <w:ilvl w:val="0"/>
          <w:numId w:val="1"/>
        </w:numPr>
        <w:spacing w:after="120" w:line="276" w:lineRule="auto"/>
        <w:ind w:left="0" w:firstLine="720"/>
        <w:contextualSpacing w:val="0"/>
        <w:rPr>
          <w:b/>
          <w:bCs/>
        </w:rPr>
      </w:pPr>
      <w:r w:rsidRPr="00A3323D">
        <w:lastRenderedPageBreak/>
        <w:t>Defendants’ use of the Property for short-term rental purposes constitutes a non-residential use that is incompatible with the residential character of the subdivision</w:t>
      </w:r>
      <w:r w:rsidR="00ED0B08">
        <w:t>.</w:t>
      </w:r>
    </w:p>
    <w:p w14:paraId="025A156C" w14:textId="7955FA64" w:rsidR="00ED0B08" w:rsidRPr="00A3323D" w:rsidRDefault="006E7033" w:rsidP="00ED0B08">
      <w:pPr>
        <w:pStyle w:val="ListParagraph"/>
        <w:numPr>
          <w:ilvl w:val="0"/>
          <w:numId w:val="1"/>
        </w:numPr>
        <w:spacing w:after="120" w:line="276" w:lineRule="auto"/>
        <w:ind w:left="0" w:firstLine="720"/>
        <w:contextualSpacing w:val="0"/>
      </w:pPr>
      <w:r w:rsidRPr="00A3323D">
        <w:t>Defendants’ conduct has also resulted in loud gatherings, excessive noise, repeated law enforcement responses, SWAT deployments, debris, and disturbances that constitute “obnoxious or offensive activity” and an annoyance to the neighborhood in violation of Section 1 of the Covenants</w:t>
      </w:r>
      <w:r w:rsidR="00ED0B08" w:rsidRPr="00A3323D">
        <w:t>.</w:t>
      </w:r>
    </w:p>
    <w:p w14:paraId="69165C53" w14:textId="5789518E" w:rsidR="00C517F8" w:rsidRPr="001802AD" w:rsidRDefault="001802AD" w:rsidP="00D42BBD">
      <w:pPr>
        <w:pStyle w:val="ListParagraph"/>
        <w:numPr>
          <w:ilvl w:val="0"/>
          <w:numId w:val="1"/>
        </w:numPr>
        <w:spacing w:after="120" w:line="276" w:lineRule="auto"/>
        <w:ind w:left="0" w:firstLine="720"/>
        <w:contextualSpacing w:val="0"/>
        <w:rPr>
          <w:b/>
          <w:bCs/>
        </w:rPr>
      </w:pPr>
      <w:r>
        <w:t xml:space="preserve">Section 15 “Remedy on Violation” of the Covenants </w:t>
      </w:r>
      <w:r w:rsidR="00F81044">
        <w:t xml:space="preserve">expressly authorizes proceedings at law or in equity to prevent violations and recover damages. This section provides in relevant part: </w:t>
      </w:r>
    </w:p>
    <w:p w14:paraId="3AAED022" w14:textId="6D63728A" w:rsidR="001802AD" w:rsidRPr="001802AD" w:rsidRDefault="001802AD" w:rsidP="001802AD">
      <w:pPr>
        <w:pStyle w:val="ListParagraph"/>
        <w:spacing w:after="120" w:line="276" w:lineRule="auto"/>
        <w:ind w:left="1440" w:firstLine="0"/>
        <w:contextualSpacing w:val="0"/>
      </w:pPr>
      <w:r>
        <w:t xml:space="preserve">“If the parties hereto or any of their heirs, successors or assigns shall violate or attempt to violate any of the covenants or restrictions herein, it shall be lawful for </w:t>
      </w:r>
      <w:r w:rsidR="00A3323D">
        <w:t xml:space="preserve">the Association, the Declarant, or </w:t>
      </w:r>
      <w:r>
        <w:t xml:space="preserve">any </w:t>
      </w:r>
      <w:r w:rsidR="00A3323D">
        <w:t>Owner of</w:t>
      </w:r>
      <w:r>
        <w:t xml:space="preserve"> any </w:t>
      </w:r>
      <w:r w:rsidR="00A3323D">
        <w:t>L</w:t>
      </w:r>
      <w:r>
        <w:t xml:space="preserve">ot </w:t>
      </w:r>
      <w:r w:rsidR="00A3323D">
        <w:t>within the</w:t>
      </w:r>
      <w:r>
        <w:t xml:space="preserve"> subdivision to prosecute any proceedings at law or in equity… </w:t>
      </w:r>
      <w:r w:rsidR="00216C8C" w:rsidRPr="00216C8C">
        <w:t>to prevent such violation or recover damages for such violation</w:t>
      </w:r>
      <w:r>
        <w:t>.”</w:t>
      </w:r>
    </w:p>
    <w:p w14:paraId="349B7C28" w14:textId="148A9254" w:rsidR="00F81044" w:rsidRPr="00E7305F" w:rsidRDefault="00216C8C" w:rsidP="00F81044">
      <w:pPr>
        <w:pStyle w:val="ListParagraph"/>
        <w:numPr>
          <w:ilvl w:val="0"/>
          <w:numId w:val="1"/>
        </w:numPr>
        <w:spacing w:after="120" w:line="276" w:lineRule="auto"/>
        <w:ind w:left="0" w:firstLine="720"/>
        <w:contextualSpacing w:val="0"/>
        <w:rPr>
          <w:b/>
          <w:bCs/>
        </w:rPr>
      </w:pPr>
      <w:r w:rsidRPr="00216C8C">
        <w:t>Defendants’ ongoing violations have harmed and continue to harm the residential character, safety, quiet enjoyment, and property interests of the subdivision and its members</w:t>
      </w:r>
      <w:r w:rsidR="0029737B">
        <w:rPr>
          <w:bCs/>
        </w:rPr>
        <w:t>.</w:t>
      </w:r>
    </w:p>
    <w:p w14:paraId="2878DAEC" w14:textId="726F87AC" w:rsidR="00E7305F" w:rsidRPr="00C03BC1" w:rsidRDefault="00E7305F" w:rsidP="00C03BC1">
      <w:pPr>
        <w:spacing w:after="120" w:line="276" w:lineRule="auto"/>
        <w:ind w:left="0" w:firstLine="720"/>
        <w:rPr>
          <w:b/>
          <w:bCs/>
        </w:rPr>
      </w:pPr>
      <w:r>
        <w:t xml:space="preserve">WHEREFORE </w:t>
      </w:r>
      <w:r w:rsidR="00216C8C" w:rsidRPr="00216C8C">
        <w:t>Plaintiff respectfully requests that judgment be entered in its favor and against Defendants on Count I, finding that Defendants have breached the Covenants applicable to the Property, and awarding such relief as is necessary and appropriate to enforce the Covenants, including damages as allowed by law and the governing documents, together with such other relief as the Court deems just and equitable</w:t>
      </w:r>
      <w:r w:rsidR="0029737B">
        <w:t xml:space="preserve">. </w:t>
      </w:r>
    </w:p>
    <w:p w14:paraId="200E7672" w14:textId="2A8759AA" w:rsidR="00F81044" w:rsidRDefault="00F81044" w:rsidP="00F81044">
      <w:pPr>
        <w:spacing w:after="120" w:line="276" w:lineRule="auto"/>
        <w:ind w:left="0" w:firstLine="0"/>
        <w:jc w:val="center"/>
        <w:rPr>
          <w:b/>
          <w:bCs/>
        </w:rPr>
      </w:pPr>
      <w:r>
        <w:rPr>
          <w:b/>
          <w:bCs/>
        </w:rPr>
        <w:t>COUNT II</w:t>
      </w:r>
    </w:p>
    <w:p w14:paraId="18188710" w14:textId="0002262A" w:rsidR="00F81044" w:rsidRPr="00F81044" w:rsidRDefault="00F81044" w:rsidP="00F81044">
      <w:pPr>
        <w:spacing w:after="120" w:line="276" w:lineRule="auto"/>
        <w:ind w:left="0" w:firstLine="0"/>
        <w:jc w:val="center"/>
        <w:rPr>
          <w:b/>
          <w:bCs/>
        </w:rPr>
      </w:pPr>
      <w:r>
        <w:rPr>
          <w:b/>
          <w:bCs/>
        </w:rPr>
        <w:t>DECLARATORY RELIEF</w:t>
      </w:r>
    </w:p>
    <w:p w14:paraId="44B3A58A" w14:textId="03D2DA57" w:rsidR="00F81044" w:rsidRPr="00F81044" w:rsidRDefault="00F81044" w:rsidP="00D42BBD">
      <w:pPr>
        <w:pStyle w:val="ListParagraph"/>
        <w:numPr>
          <w:ilvl w:val="0"/>
          <w:numId w:val="1"/>
        </w:numPr>
        <w:spacing w:after="120" w:line="276" w:lineRule="auto"/>
        <w:ind w:left="0" w:firstLine="720"/>
        <w:contextualSpacing w:val="0"/>
        <w:rPr>
          <w:b/>
          <w:bCs/>
        </w:rPr>
      </w:pPr>
      <w:r>
        <w:t>Plaintiff incorporates by reference the preceding paragraphs.</w:t>
      </w:r>
    </w:p>
    <w:p w14:paraId="14C083C8" w14:textId="06B8D291" w:rsidR="00F81044" w:rsidRPr="00F81044" w:rsidRDefault="00216C8C" w:rsidP="00D42BBD">
      <w:pPr>
        <w:pStyle w:val="ListParagraph"/>
        <w:numPr>
          <w:ilvl w:val="0"/>
          <w:numId w:val="1"/>
        </w:numPr>
        <w:spacing w:after="120" w:line="276" w:lineRule="auto"/>
        <w:ind w:left="0" w:firstLine="720"/>
        <w:contextualSpacing w:val="0"/>
        <w:rPr>
          <w:b/>
          <w:bCs/>
        </w:rPr>
      </w:pPr>
      <w:r w:rsidRPr="00216C8C">
        <w:t>A present, actual, and justiciable controversy exists between the Association and Defendants regarding the parties’ respective rights and obligations under the Covenants, including whether the Covenants permit the operation of the Property as a short-term or transient rental</w:t>
      </w:r>
      <w:r w:rsidR="00F81044">
        <w:t>.</w:t>
      </w:r>
    </w:p>
    <w:p w14:paraId="2828BF4A" w14:textId="55138D0C" w:rsidR="00F81044" w:rsidRPr="00F81044" w:rsidRDefault="00216C8C" w:rsidP="00D42BBD">
      <w:pPr>
        <w:pStyle w:val="ListParagraph"/>
        <w:numPr>
          <w:ilvl w:val="0"/>
          <w:numId w:val="1"/>
        </w:numPr>
        <w:spacing w:after="120" w:line="276" w:lineRule="auto"/>
        <w:ind w:left="0" w:firstLine="720"/>
        <w:contextualSpacing w:val="0"/>
        <w:rPr>
          <w:b/>
          <w:bCs/>
        </w:rPr>
      </w:pPr>
      <w:r w:rsidRPr="00216C8C">
        <w:lastRenderedPageBreak/>
        <w:t xml:space="preserve">Plaintiff contends that the </w:t>
      </w:r>
      <w:r w:rsidR="00DA37DE" w:rsidRPr="00216C8C">
        <w:t>Covenants</w:t>
      </w:r>
      <w:r w:rsidRPr="00216C8C">
        <w:t xml:space="preserve"> prohibit short-term or transient rental of lots within the subdivision and that Defendants’ use of the Property violates those restrictions</w:t>
      </w:r>
      <w:r w:rsidR="00FA03E1">
        <w:t>.</w:t>
      </w:r>
    </w:p>
    <w:p w14:paraId="77036934" w14:textId="0907CA04" w:rsidR="00F81044" w:rsidRPr="00113874" w:rsidRDefault="00216C8C" w:rsidP="00F81044">
      <w:pPr>
        <w:pStyle w:val="ListParagraph"/>
        <w:numPr>
          <w:ilvl w:val="0"/>
          <w:numId w:val="1"/>
        </w:numPr>
        <w:spacing w:after="120" w:line="276" w:lineRule="auto"/>
        <w:ind w:left="0" w:firstLine="720"/>
        <w:contextualSpacing w:val="0"/>
        <w:rPr>
          <w:b/>
          <w:bCs/>
        </w:rPr>
      </w:pPr>
      <w:r w:rsidRPr="00216C8C">
        <w:t xml:space="preserve">Plaintiff seeks a judicial declaration that (a) the </w:t>
      </w:r>
      <w:r w:rsidR="00DA37DE" w:rsidRPr="00216C8C">
        <w:t>Covenants</w:t>
      </w:r>
      <w:r w:rsidRPr="00216C8C">
        <w:t xml:space="preserve"> prohibit the use of lots within Whitetail Creek for short-term or transient rental purposes; and (b) Defendants’ operation of the Property as a short-term rental violates the Covenants</w:t>
      </w:r>
      <w:r w:rsidR="00113874">
        <w:t>.</w:t>
      </w:r>
    </w:p>
    <w:p w14:paraId="32704856" w14:textId="62F11476" w:rsidR="00113874" w:rsidRPr="00C03BC1" w:rsidRDefault="00113874" w:rsidP="00C03BC1">
      <w:pPr>
        <w:spacing w:after="120" w:line="276" w:lineRule="auto"/>
        <w:ind w:left="0" w:firstLine="720"/>
        <w:rPr>
          <w:b/>
          <w:bCs/>
        </w:rPr>
      </w:pPr>
      <w:r>
        <w:t>WHEREFORE, Plaintiff respectfully requests that the Court enter a declaratory judgment pursuant to Neb. Rev. Stat. §</w:t>
      </w:r>
      <w:r w:rsidR="00EA6364">
        <w:t>§</w:t>
      </w:r>
      <w:r>
        <w:t xml:space="preserve"> 25-21,149 </w:t>
      </w:r>
      <w:r w:rsidR="00EA6364">
        <w:t>and 25-</w:t>
      </w:r>
      <w:r w:rsidR="009E55D1">
        <w:t xml:space="preserve">21,150 </w:t>
      </w:r>
      <w:r w:rsidR="00ED2A99">
        <w:t xml:space="preserve">declaring </w:t>
      </w:r>
      <w:r w:rsidR="00D437E9">
        <w:t>that: (</w:t>
      </w:r>
      <w:r w:rsidR="00ED2A99">
        <w:t xml:space="preserve">a) </w:t>
      </w:r>
      <w:r w:rsidR="00DA37DE">
        <w:t>the</w:t>
      </w:r>
      <w:r w:rsidR="00ED2A99">
        <w:t xml:space="preserve"> Covenants prohibit the use of lots for short-term or transient rental purposes; and (b) Defendants’ operation of the Property as a short-term rental violates the Covenants.</w:t>
      </w:r>
    </w:p>
    <w:p w14:paraId="59ED9556" w14:textId="586BD1C5" w:rsidR="00F81044" w:rsidRDefault="00F81044" w:rsidP="00F81044">
      <w:pPr>
        <w:spacing w:after="120" w:line="276" w:lineRule="auto"/>
        <w:ind w:left="0" w:firstLine="0"/>
        <w:jc w:val="center"/>
        <w:rPr>
          <w:b/>
          <w:bCs/>
        </w:rPr>
      </w:pPr>
      <w:r>
        <w:rPr>
          <w:b/>
          <w:bCs/>
        </w:rPr>
        <w:t>COUNT III</w:t>
      </w:r>
    </w:p>
    <w:p w14:paraId="3B29E573" w14:textId="6E4F6B83" w:rsidR="00F81044" w:rsidRPr="00F81044" w:rsidRDefault="00F81044" w:rsidP="00F81044">
      <w:pPr>
        <w:spacing w:after="120" w:line="276" w:lineRule="auto"/>
        <w:ind w:left="0" w:firstLine="0"/>
        <w:jc w:val="center"/>
        <w:rPr>
          <w:b/>
          <w:bCs/>
        </w:rPr>
      </w:pPr>
      <w:r>
        <w:rPr>
          <w:b/>
          <w:bCs/>
        </w:rPr>
        <w:t>INJUNCTIVE RELIEF</w:t>
      </w:r>
    </w:p>
    <w:p w14:paraId="5D26CCE1" w14:textId="4BD4B3C5" w:rsidR="00F81044" w:rsidRPr="00F81044" w:rsidRDefault="00F81044" w:rsidP="00D42BBD">
      <w:pPr>
        <w:pStyle w:val="ListParagraph"/>
        <w:numPr>
          <w:ilvl w:val="0"/>
          <w:numId w:val="1"/>
        </w:numPr>
        <w:spacing w:after="120" w:line="276" w:lineRule="auto"/>
        <w:ind w:left="0" w:firstLine="720"/>
        <w:contextualSpacing w:val="0"/>
        <w:rPr>
          <w:b/>
          <w:bCs/>
        </w:rPr>
      </w:pPr>
      <w:r>
        <w:t>Plaintiff incorporates by reference the preceding paragraphs</w:t>
      </w:r>
      <w:r w:rsidR="002C0BD1">
        <w:t xml:space="preserve"> as if fully set forth herein.</w:t>
      </w:r>
    </w:p>
    <w:p w14:paraId="4AFEE5AA" w14:textId="7547B53C" w:rsidR="00F81044" w:rsidRPr="00F81044" w:rsidRDefault="00216C8C" w:rsidP="00D42BBD">
      <w:pPr>
        <w:pStyle w:val="ListParagraph"/>
        <w:numPr>
          <w:ilvl w:val="0"/>
          <w:numId w:val="1"/>
        </w:numPr>
        <w:spacing w:after="120" w:line="276" w:lineRule="auto"/>
        <w:ind w:left="0" w:firstLine="720"/>
        <w:contextualSpacing w:val="0"/>
        <w:rPr>
          <w:b/>
          <w:bCs/>
        </w:rPr>
      </w:pPr>
      <w:r>
        <w:t>Section 15 of t</w:t>
      </w:r>
      <w:r w:rsidRPr="00216C8C">
        <w:t>he Covenants authorize</w:t>
      </w:r>
      <w:r w:rsidR="00DA37DE">
        <w:t>s</w:t>
      </w:r>
      <w:r w:rsidRPr="00216C8C">
        <w:t xml:space="preserve"> the Association to pursue </w:t>
      </w:r>
      <w:r>
        <w:t>“</w:t>
      </w:r>
      <w:r w:rsidRPr="00216C8C">
        <w:t>proceedings at law or in equit</w:t>
      </w:r>
      <w:r>
        <w:t>y”</w:t>
      </w:r>
      <w:r w:rsidRPr="00216C8C">
        <w:t xml:space="preserve"> to prevent violations and enforce the restrictions contained therein</w:t>
      </w:r>
      <w:r w:rsidR="00CD0F17">
        <w:t>.</w:t>
      </w:r>
    </w:p>
    <w:p w14:paraId="363201C2" w14:textId="0DDB54FA" w:rsidR="00F81044" w:rsidRPr="00F81044" w:rsidRDefault="00216C8C" w:rsidP="00D42BBD">
      <w:pPr>
        <w:pStyle w:val="ListParagraph"/>
        <w:numPr>
          <w:ilvl w:val="0"/>
          <w:numId w:val="1"/>
        </w:numPr>
        <w:spacing w:after="120" w:line="276" w:lineRule="auto"/>
        <w:ind w:left="0" w:firstLine="720"/>
        <w:contextualSpacing w:val="0"/>
        <w:rPr>
          <w:b/>
          <w:bCs/>
        </w:rPr>
      </w:pPr>
      <w:r w:rsidRPr="00216C8C">
        <w:t>Defendants have demonstrated an unwillingness to voluntarily comply with the Covenants despite notice, the assessment of fines, the recorded lien, and a formal cease-and-desist demand, and continue to operate the Property in violation of the Covenants</w:t>
      </w:r>
      <w:r w:rsidR="00BB1F5F">
        <w:t>.</w:t>
      </w:r>
    </w:p>
    <w:p w14:paraId="0292E98C" w14:textId="2CD1698D" w:rsidR="00BB1F5F" w:rsidRPr="00BB1F5F" w:rsidRDefault="00216C8C" w:rsidP="00BB1F5F">
      <w:pPr>
        <w:pStyle w:val="ListParagraph"/>
        <w:numPr>
          <w:ilvl w:val="0"/>
          <w:numId w:val="1"/>
        </w:numPr>
        <w:spacing w:after="120" w:line="276" w:lineRule="auto"/>
        <w:ind w:left="0" w:firstLine="720"/>
        <w:contextualSpacing w:val="0"/>
        <w:rPr>
          <w:b/>
          <w:bCs/>
        </w:rPr>
      </w:pPr>
      <w:r w:rsidRPr="00216C8C">
        <w:t>Defendants’ continued violations are ongoing in nature, and monetary damages alone are inadequate to protect the residential character of the subdivision, prevent continued nuisance activity, and remedy the ongoing and irreparable harm caused by Defendants’ conduct</w:t>
      </w:r>
      <w:r w:rsidR="00F81044">
        <w:t>.</w:t>
      </w:r>
    </w:p>
    <w:p w14:paraId="27E530DA" w14:textId="68EDE972" w:rsidR="00F81044" w:rsidRPr="00BC59F3" w:rsidRDefault="00216C8C" w:rsidP="00D42BBD">
      <w:pPr>
        <w:pStyle w:val="ListParagraph"/>
        <w:numPr>
          <w:ilvl w:val="0"/>
          <w:numId w:val="1"/>
        </w:numPr>
        <w:spacing w:after="120" w:line="276" w:lineRule="auto"/>
        <w:ind w:left="0" w:firstLine="720"/>
        <w:contextualSpacing w:val="0"/>
        <w:rPr>
          <w:b/>
          <w:bCs/>
        </w:rPr>
      </w:pPr>
      <w:r w:rsidRPr="00216C8C">
        <w:t>Plaintiff seeks temporary and permanent injunctive relief prohibiting Defendants from advertising, operating, leasing, renting, or otherwise permitting the Property to be used for short-term or transient occupancy</w:t>
      </w:r>
      <w:r w:rsidR="00F81044">
        <w:t>.</w:t>
      </w:r>
    </w:p>
    <w:p w14:paraId="5FBF6614" w14:textId="28FCA76A" w:rsidR="00BC59F3" w:rsidRPr="00C03BC1" w:rsidRDefault="00BC59F3" w:rsidP="00C03BC1">
      <w:pPr>
        <w:spacing w:after="120" w:line="276" w:lineRule="auto"/>
        <w:ind w:left="0" w:firstLine="720"/>
        <w:rPr>
          <w:b/>
          <w:bCs/>
        </w:rPr>
      </w:pPr>
      <w:r>
        <w:t xml:space="preserve">WHEREFORE, </w:t>
      </w:r>
      <w:r w:rsidR="00216C8C" w:rsidRPr="00216C8C">
        <w:t xml:space="preserve">Plaintiff respectfully requests that the Court enter temporary and permanent injunctive relief pursuant to Neb. Rev. Stat. §§ 25-1062 </w:t>
      </w:r>
      <w:r w:rsidR="00216C8C" w:rsidRPr="00216C8C">
        <w:lastRenderedPageBreak/>
        <w:t>and 25-1063, enjoining Defendants from advertising, operating, leasing, renting, or otherwise permitting the Property to be used for short-term or transient occupancy, and granting such further equitable relief as the Court deems just and proper</w:t>
      </w:r>
      <w:r>
        <w:t>.</w:t>
      </w:r>
    </w:p>
    <w:p w14:paraId="593D04FA" w14:textId="5C3B64B5" w:rsidR="00F81044" w:rsidRDefault="00F81044" w:rsidP="00F81044">
      <w:pPr>
        <w:spacing w:after="120" w:line="276" w:lineRule="auto"/>
        <w:ind w:left="0" w:firstLine="0"/>
        <w:jc w:val="center"/>
        <w:rPr>
          <w:b/>
          <w:bCs/>
        </w:rPr>
      </w:pPr>
      <w:r>
        <w:rPr>
          <w:b/>
          <w:bCs/>
        </w:rPr>
        <w:t>COUNT IV</w:t>
      </w:r>
    </w:p>
    <w:p w14:paraId="7B07EC02" w14:textId="5053D016" w:rsidR="00F81044" w:rsidRPr="00F81044" w:rsidRDefault="00F81044" w:rsidP="00F81044">
      <w:pPr>
        <w:spacing w:after="120" w:line="276" w:lineRule="auto"/>
        <w:ind w:left="0" w:firstLine="0"/>
        <w:jc w:val="center"/>
        <w:rPr>
          <w:b/>
          <w:bCs/>
        </w:rPr>
      </w:pPr>
      <w:r>
        <w:rPr>
          <w:b/>
          <w:bCs/>
        </w:rPr>
        <w:t>FORECLOSURE OF HOA LIEN</w:t>
      </w:r>
      <w:r w:rsidR="006E7033">
        <w:rPr>
          <w:b/>
          <w:bCs/>
        </w:rPr>
        <w:t xml:space="preserve"> FOR UNPAID DUES AND ASSESSMENTS</w:t>
      </w:r>
    </w:p>
    <w:p w14:paraId="5149D74C" w14:textId="3129E743" w:rsidR="00F81044" w:rsidRPr="008A0902" w:rsidRDefault="008A0902" w:rsidP="00D42BBD">
      <w:pPr>
        <w:pStyle w:val="ListParagraph"/>
        <w:numPr>
          <w:ilvl w:val="0"/>
          <w:numId w:val="1"/>
        </w:numPr>
        <w:spacing w:after="120" w:line="276" w:lineRule="auto"/>
        <w:ind w:left="0" w:firstLine="720"/>
        <w:contextualSpacing w:val="0"/>
        <w:rPr>
          <w:b/>
          <w:bCs/>
        </w:rPr>
      </w:pPr>
      <w:r>
        <w:t>Plaintiff incorporates by reference the preceding paragraphs</w:t>
      </w:r>
      <w:r w:rsidR="002C0BD1">
        <w:t xml:space="preserve"> as if fully set forth herein.</w:t>
      </w:r>
    </w:p>
    <w:p w14:paraId="770BACC2" w14:textId="77777777" w:rsidR="00700B87" w:rsidRPr="00700B87" w:rsidRDefault="001802AD" w:rsidP="00D42BBD">
      <w:pPr>
        <w:pStyle w:val="ListParagraph"/>
        <w:numPr>
          <w:ilvl w:val="0"/>
          <w:numId w:val="1"/>
        </w:numPr>
        <w:spacing w:after="120" w:line="276" w:lineRule="auto"/>
        <w:ind w:left="0" w:firstLine="720"/>
        <w:contextualSpacing w:val="0"/>
        <w:rPr>
          <w:b/>
          <w:bCs/>
        </w:rPr>
      </w:pPr>
      <w:r>
        <w:t>Section IX “Liens and Personal Obligations for Dues and Assessments” of the Covenants provides that</w:t>
      </w:r>
      <w:r w:rsidR="00700B87">
        <w:t>:</w:t>
      </w:r>
    </w:p>
    <w:p w14:paraId="19E0C188" w14:textId="335CA754" w:rsidR="00C517F8" w:rsidRPr="001802AD" w:rsidRDefault="00700B87" w:rsidP="00700B87">
      <w:pPr>
        <w:pStyle w:val="ListParagraph"/>
        <w:spacing w:after="120" w:line="276" w:lineRule="auto"/>
        <w:ind w:firstLine="720"/>
        <w:contextualSpacing w:val="0"/>
        <w:rPr>
          <w:b/>
          <w:bCs/>
        </w:rPr>
      </w:pPr>
      <w:r>
        <w:t xml:space="preserve">“The </w:t>
      </w:r>
      <w:r w:rsidR="001802AD">
        <w:t>assessments</w:t>
      </w:r>
      <w:r>
        <w:t xml:space="preserve"> and dues</w:t>
      </w:r>
      <w:r w:rsidR="001802AD">
        <w:t xml:space="preserve">, together with interest, </w:t>
      </w:r>
      <w:r>
        <w:t xml:space="preserve">thereon, </w:t>
      </w:r>
      <w:r w:rsidR="001802AD">
        <w:t xml:space="preserve">costs and reasonable attorney’s fees, </w:t>
      </w:r>
      <w:r>
        <w:t>shall be the personal obligation of the Owner of each Lot… shall also be a charge and continuing lien upon the Lot.</w:t>
      </w:r>
      <w:r w:rsidR="00DA37DE">
        <w:t>”</w:t>
      </w:r>
    </w:p>
    <w:p w14:paraId="39C0342A" w14:textId="122627C9" w:rsidR="001802AD" w:rsidRPr="0074727D" w:rsidRDefault="001802AD" w:rsidP="00D42BBD">
      <w:pPr>
        <w:pStyle w:val="ListParagraph"/>
        <w:numPr>
          <w:ilvl w:val="0"/>
          <w:numId w:val="1"/>
        </w:numPr>
        <w:spacing w:after="120" w:line="276" w:lineRule="auto"/>
        <w:ind w:left="0" w:firstLine="720"/>
        <w:contextualSpacing w:val="0"/>
        <w:rPr>
          <w:b/>
          <w:bCs/>
        </w:rPr>
      </w:pPr>
      <w:r>
        <w:t xml:space="preserve">Section XVI “Effect of Nonpayment of Assessments </w:t>
      </w:r>
      <w:r w:rsidR="00216C8C">
        <w:t>-</w:t>
      </w:r>
      <w:r>
        <w:t xml:space="preserve"> Remedies of the Association”</w:t>
      </w:r>
      <w:r w:rsidR="00ED0B08">
        <w:t xml:space="preserve"> of the Covenants provides that the Association may foreclose its lien for delinquent dues and assessments and recover interest, costs, and reasonable attorney’s fees.</w:t>
      </w:r>
    </w:p>
    <w:p w14:paraId="2BD1A68D" w14:textId="52793325" w:rsidR="00700B87" w:rsidRPr="00700B87" w:rsidRDefault="00D7326A" w:rsidP="00D42BBD">
      <w:pPr>
        <w:pStyle w:val="ListParagraph"/>
        <w:numPr>
          <w:ilvl w:val="0"/>
          <w:numId w:val="1"/>
        </w:numPr>
        <w:spacing w:after="120" w:line="276" w:lineRule="auto"/>
        <w:ind w:left="0" w:firstLine="720"/>
        <w:contextualSpacing w:val="0"/>
        <w:rPr>
          <w:b/>
          <w:bCs/>
        </w:rPr>
      </w:pPr>
      <w:r>
        <w:t>Defendants failed to pay mandatory dues and assessments owed to the Association over multiple years</w:t>
      </w:r>
      <w:r w:rsidR="00700B87">
        <w:t>.</w:t>
      </w:r>
    </w:p>
    <w:p w14:paraId="211BEF48" w14:textId="4CF95D00" w:rsidR="00E73FA5" w:rsidRPr="00E73FA5" w:rsidRDefault="00AD2B9A" w:rsidP="00D42BBD">
      <w:pPr>
        <w:pStyle w:val="ListParagraph"/>
        <w:numPr>
          <w:ilvl w:val="0"/>
          <w:numId w:val="1"/>
        </w:numPr>
        <w:spacing w:after="120" w:line="276" w:lineRule="auto"/>
        <w:ind w:left="0" w:firstLine="720"/>
        <w:contextualSpacing w:val="0"/>
        <w:rPr>
          <w:b/>
          <w:bCs/>
        </w:rPr>
      </w:pPr>
      <w:r w:rsidRPr="00AD2B9A">
        <w:t xml:space="preserve">On August 14, 2025, the Association recorded a Notice of Homeowners Association Lien against the Property in the amount of $913.25, securing unpaid dues and assessments then owed, together with interest accruing at the rate of sixteen percent (16%) per annum and </w:t>
      </w:r>
      <w:r w:rsidR="00DA37DE" w:rsidRPr="00DA37DE">
        <w:t>recoverable costs and reasonable attorney’s fees</w:t>
      </w:r>
      <w:r w:rsidRPr="00AD2B9A">
        <w:t xml:space="preserve"> as authorized by the Covenants</w:t>
      </w:r>
      <w:r w:rsidR="00E73FA5">
        <w:t>.</w:t>
      </w:r>
    </w:p>
    <w:p w14:paraId="1BED5805" w14:textId="7AFE9FFC" w:rsidR="00D7326A" w:rsidRDefault="00AD2B9A" w:rsidP="00D42BBD">
      <w:pPr>
        <w:pStyle w:val="ListParagraph"/>
        <w:numPr>
          <w:ilvl w:val="0"/>
          <w:numId w:val="1"/>
        </w:numPr>
        <w:spacing w:after="120" w:line="276" w:lineRule="auto"/>
        <w:ind w:left="0" w:firstLine="720"/>
        <w:contextualSpacing w:val="0"/>
      </w:pPr>
      <w:r w:rsidRPr="00AD2B9A">
        <w:t>Pursuant to</w:t>
      </w:r>
      <w:r>
        <w:t xml:space="preserve"> the Covenants and</w:t>
      </w:r>
      <w:r w:rsidRPr="00AD2B9A">
        <w:t xml:space="preserve"> Neb. Rev. Stat. § 52-2001, the Association has a lien on the Property for unpaid assessments and may enforce that lien through foreclosure</w:t>
      </w:r>
      <w:r w:rsidR="00D7326A">
        <w:t>.</w:t>
      </w:r>
    </w:p>
    <w:p w14:paraId="6B8D26D3" w14:textId="4D1C56C0" w:rsidR="00972B26" w:rsidRDefault="00972B26" w:rsidP="00D42BBD">
      <w:pPr>
        <w:pStyle w:val="ListParagraph"/>
        <w:numPr>
          <w:ilvl w:val="0"/>
          <w:numId w:val="1"/>
        </w:numPr>
        <w:spacing w:after="120" w:line="276" w:lineRule="auto"/>
        <w:ind w:left="0" w:firstLine="720"/>
        <w:contextualSpacing w:val="0"/>
      </w:pPr>
      <w:r w:rsidRPr="00972B26">
        <w:t>Neb. Rev. Stat. § 52-2001(4) provides that a lien for unpaid assessments is extinguished unless proceedings to enforce the lien are instituted within three (3) years after the assessments become due.</w:t>
      </w:r>
    </w:p>
    <w:p w14:paraId="07B6F397" w14:textId="3C5BEECB" w:rsidR="00792D1F" w:rsidRPr="00792D1F" w:rsidRDefault="00AD2B9A" w:rsidP="00D42BBD">
      <w:pPr>
        <w:pStyle w:val="ListParagraph"/>
        <w:numPr>
          <w:ilvl w:val="0"/>
          <w:numId w:val="1"/>
        </w:numPr>
        <w:spacing w:after="120" w:line="276" w:lineRule="auto"/>
        <w:ind w:left="0" w:firstLine="720"/>
        <w:contextualSpacing w:val="0"/>
      </w:pPr>
      <w:r w:rsidRPr="00AD2B9A">
        <w:lastRenderedPageBreak/>
        <w:t>Pursuant to Neb. Rev. Stat. § 52-2001(6), a judgment entered in an action to enforce an assessment lien shall include costs and reasonable attorney’s fees for the prevailing party</w:t>
      </w:r>
      <w:r w:rsidR="00126A57" w:rsidRPr="00126A57">
        <w:t>.</w:t>
      </w:r>
    </w:p>
    <w:p w14:paraId="1E456194" w14:textId="04E94DF2" w:rsidR="00700B87" w:rsidRPr="00405312" w:rsidRDefault="0087709E" w:rsidP="00700B87">
      <w:pPr>
        <w:pStyle w:val="ListParagraph"/>
        <w:numPr>
          <w:ilvl w:val="0"/>
          <w:numId w:val="1"/>
        </w:numPr>
        <w:spacing w:after="120" w:line="276" w:lineRule="auto"/>
        <w:ind w:left="0" w:firstLine="720"/>
        <w:contextualSpacing w:val="0"/>
        <w:rPr>
          <w:b/>
          <w:bCs/>
        </w:rPr>
      </w:pPr>
      <w:r w:rsidRPr="0087709E">
        <w:t xml:space="preserve">Plaintiff seeks foreclosure of its lien as to unpaid assessments in the amount of $783.25, representing assessments that became due within the statutory period and were secured by the recorded lien, </w:t>
      </w:r>
      <w:r w:rsidR="00DA37DE" w:rsidRPr="00DA37DE">
        <w:t>together with interest accruing at the rate of sixteen percent (16%) per annum, costs, and reasonable attorney’s fees</w:t>
      </w:r>
      <w:r w:rsidR="00700B87">
        <w:t>.</w:t>
      </w:r>
    </w:p>
    <w:p w14:paraId="14F11FE9" w14:textId="18E16CF6" w:rsidR="00405312" w:rsidRPr="00405312" w:rsidRDefault="0087709E" w:rsidP="00700B87">
      <w:pPr>
        <w:pStyle w:val="ListParagraph"/>
        <w:numPr>
          <w:ilvl w:val="0"/>
          <w:numId w:val="1"/>
        </w:numPr>
        <w:spacing w:after="120" w:line="276" w:lineRule="auto"/>
        <w:ind w:left="0" w:firstLine="720"/>
        <w:contextualSpacing w:val="0"/>
        <w:rPr>
          <w:b/>
          <w:bCs/>
        </w:rPr>
      </w:pPr>
      <w:r w:rsidRPr="0087709E">
        <w:t>Plaintiff is therefore entitled to a decree foreclosing its homeowners’ association lien against the Property pursuant to the Covenants and Neb. Rev. Stat. § 52-2001, ordering the sale of the Property and application of the proceeds to the lien-secured amounts properly subject to foreclosure</w:t>
      </w:r>
      <w:r w:rsidR="00405312">
        <w:t>.</w:t>
      </w:r>
    </w:p>
    <w:p w14:paraId="0320A2CB" w14:textId="06C4EC00" w:rsidR="00405312" w:rsidRPr="00C03BC1" w:rsidRDefault="00405312" w:rsidP="00C03BC1">
      <w:pPr>
        <w:spacing w:after="120" w:line="276" w:lineRule="auto"/>
        <w:ind w:left="0" w:firstLine="720"/>
        <w:rPr>
          <w:b/>
          <w:bCs/>
        </w:rPr>
      </w:pPr>
      <w:r>
        <w:t>WHEREFORE</w:t>
      </w:r>
      <w:r w:rsidR="00C450B3" w:rsidRPr="00C450B3">
        <w:t xml:space="preserve"> </w:t>
      </w:r>
      <w:r w:rsidR="0087709E" w:rsidRPr="0087709E">
        <w:t>Plaintiff respectfully requests that the Court enter judgment foreclosing Plaintiff’s homeowners’ association lien against the Property pursuant to Neb. Rev. Stat. § 52-2001, order the Property sold to satisfy the unpaid dues and assessments secured by the lien, award Plaintiff interest, costs, and reasonable attorney’s fees, and grant such other and further relief as the Court deems just and equitable</w:t>
      </w:r>
      <w:r w:rsidR="005070FB">
        <w:t>.</w:t>
      </w:r>
    </w:p>
    <w:p w14:paraId="2F621D48" w14:textId="5C7943AD" w:rsidR="00700B87" w:rsidRDefault="00700B87" w:rsidP="00700B87">
      <w:pPr>
        <w:spacing w:after="120" w:line="276" w:lineRule="auto"/>
        <w:ind w:left="0" w:firstLine="0"/>
        <w:jc w:val="center"/>
        <w:rPr>
          <w:b/>
          <w:bCs/>
        </w:rPr>
      </w:pPr>
      <w:r>
        <w:rPr>
          <w:b/>
          <w:bCs/>
        </w:rPr>
        <w:t>COUNT V</w:t>
      </w:r>
    </w:p>
    <w:p w14:paraId="585F0748" w14:textId="6836968E" w:rsidR="00700B87" w:rsidRPr="00700B87" w:rsidRDefault="00700B87" w:rsidP="00700B87">
      <w:pPr>
        <w:spacing w:after="120" w:line="276" w:lineRule="auto"/>
        <w:ind w:left="0" w:firstLine="0"/>
        <w:jc w:val="center"/>
        <w:rPr>
          <w:b/>
          <w:bCs/>
        </w:rPr>
      </w:pPr>
      <w:r>
        <w:rPr>
          <w:b/>
          <w:bCs/>
        </w:rPr>
        <w:t>MONEY JUDGMENT FOR UNPAID</w:t>
      </w:r>
      <w:r w:rsidR="00DA37DE">
        <w:rPr>
          <w:b/>
          <w:bCs/>
        </w:rPr>
        <w:t xml:space="preserve"> AMOUNTS</w:t>
      </w:r>
    </w:p>
    <w:p w14:paraId="0E21643E" w14:textId="1E9E91D8" w:rsidR="00700B87" w:rsidRPr="00700B87" w:rsidRDefault="00700B87" w:rsidP="00D42BBD">
      <w:pPr>
        <w:pStyle w:val="ListParagraph"/>
        <w:numPr>
          <w:ilvl w:val="0"/>
          <w:numId w:val="1"/>
        </w:numPr>
        <w:spacing w:after="120" w:line="276" w:lineRule="auto"/>
        <w:ind w:left="0" w:firstLine="720"/>
        <w:contextualSpacing w:val="0"/>
        <w:rPr>
          <w:b/>
          <w:bCs/>
        </w:rPr>
      </w:pPr>
      <w:r>
        <w:t>Plaintiff incorporates by reference the preceding paragraphs</w:t>
      </w:r>
      <w:r w:rsidR="00866CC2">
        <w:t xml:space="preserve"> as if fully set forth herein.</w:t>
      </w:r>
    </w:p>
    <w:p w14:paraId="19950E3D" w14:textId="1F1999F7" w:rsidR="00CD65CF" w:rsidRPr="006E7033" w:rsidRDefault="0087709E" w:rsidP="00CD65CF">
      <w:pPr>
        <w:pStyle w:val="ListParagraph"/>
        <w:numPr>
          <w:ilvl w:val="0"/>
          <w:numId w:val="1"/>
        </w:numPr>
        <w:spacing w:after="120" w:line="276" w:lineRule="auto"/>
        <w:ind w:left="0" w:firstLine="720"/>
        <w:contextualSpacing w:val="0"/>
        <w:rPr>
          <w:b/>
          <w:bCs/>
        </w:rPr>
      </w:pPr>
      <w:r w:rsidRPr="0087709E">
        <w:t>Defendants are the owners of the Property and members of the Association and are bound by the Covenants and Bylaws, which authorize the Association to levy dues, assessments, and fines, and to recover costs and fees associated with enforcement</w:t>
      </w:r>
      <w:r w:rsidR="00700B87">
        <w:t>.</w:t>
      </w:r>
    </w:p>
    <w:p w14:paraId="3DA320F5" w14:textId="5049DB0E" w:rsidR="00B51CD6" w:rsidRPr="00B51CD6" w:rsidRDefault="0087709E" w:rsidP="00CD65CF">
      <w:pPr>
        <w:pStyle w:val="ListParagraph"/>
        <w:numPr>
          <w:ilvl w:val="0"/>
          <w:numId w:val="1"/>
        </w:numPr>
        <w:spacing w:after="120" w:line="276" w:lineRule="auto"/>
        <w:ind w:left="0" w:firstLine="720"/>
        <w:contextualSpacing w:val="0"/>
        <w:rPr>
          <w:b/>
          <w:bCs/>
        </w:rPr>
      </w:pPr>
      <w:r w:rsidRPr="0087709E">
        <w:t>As set forth above, Defendants engaged in repeated and ongoing violations of the Covenants and failed to pay amounts owed to the Association</w:t>
      </w:r>
      <w:r w:rsidR="00B51CD6">
        <w:t>.</w:t>
      </w:r>
    </w:p>
    <w:p w14:paraId="4C124590" w14:textId="4BB3D095" w:rsidR="00B51CD6" w:rsidRPr="00B51CD6" w:rsidRDefault="0087709E" w:rsidP="00CD65CF">
      <w:pPr>
        <w:pStyle w:val="ListParagraph"/>
        <w:numPr>
          <w:ilvl w:val="0"/>
          <w:numId w:val="1"/>
        </w:numPr>
        <w:spacing w:after="120" w:line="276" w:lineRule="auto"/>
        <w:ind w:left="0" w:firstLine="720"/>
        <w:contextualSpacing w:val="0"/>
      </w:pPr>
      <w:r w:rsidRPr="0087709E">
        <w:t>As a result, Defendants owe the Association amounts not subject to foreclosure of the lien, including, without limitation</w:t>
      </w:r>
      <w:r w:rsidR="00B51CD6" w:rsidRPr="00B51CD6">
        <w:t>:</w:t>
      </w:r>
    </w:p>
    <w:p w14:paraId="0F4071F6" w14:textId="113AA87F" w:rsidR="0087709E" w:rsidRDefault="0087709E" w:rsidP="00B51CD6">
      <w:pPr>
        <w:pStyle w:val="ListParagraph"/>
        <w:numPr>
          <w:ilvl w:val="1"/>
          <w:numId w:val="1"/>
        </w:numPr>
        <w:spacing w:after="120" w:line="276" w:lineRule="auto"/>
        <w:contextualSpacing w:val="0"/>
      </w:pPr>
      <w:r w:rsidRPr="0087709E">
        <w:t>$130.00 in unpaid dues and assessments that fall outside the statutory period for lien enforcement</w:t>
      </w:r>
      <w:r w:rsidR="00DA37DE">
        <w:t>;</w:t>
      </w:r>
    </w:p>
    <w:p w14:paraId="5DAA0B85" w14:textId="4C55B653" w:rsidR="00B51CD6" w:rsidRDefault="00B51CD6" w:rsidP="00B51CD6">
      <w:pPr>
        <w:pStyle w:val="ListParagraph"/>
        <w:numPr>
          <w:ilvl w:val="1"/>
          <w:numId w:val="1"/>
        </w:numPr>
        <w:spacing w:after="120" w:line="276" w:lineRule="auto"/>
        <w:contextualSpacing w:val="0"/>
      </w:pPr>
      <w:r w:rsidRPr="00B51CD6">
        <w:lastRenderedPageBreak/>
        <w:t>$3,</w:t>
      </w:r>
      <w:r w:rsidR="00482E60">
        <w:t>000</w:t>
      </w:r>
      <w:r w:rsidR="002D65FA" w:rsidRPr="002D65FA">
        <w:t xml:space="preserve"> in fines assessed following the April 21, 2024</w:t>
      </w:r>
      <w:r w:rsidR="002540D9">
        <w:t>,</w:t>
      </w:r>
      <w:r w:rsidR="002D65FA" w:rsidRPr="002D65FA">
        <w:t xml:space="preserve"> incident for nuisance violations, property maintenance violations, and debris and appearance violations</w:t>
      </w:r>
      <w:r>
        <w:t>;</w:t>
      </w:r>
    </w:p>
    <w:p w14:paraId="57165271" w14:textId="6745F858" w:rsidR="00B51CD6" w:rsidRDefault="00B51CD6" w:rsidP="00B51CD6">
      <w:pPr>
        <w:pStyle w:val="ListParagraph"/>
        <w:numPr>
          <w:ilvl w:val="1"/>
          <w:numId w:val="1"/>
        </w:numPr>
        <w:spacing w:after="120" w:line="276" w:lineRule="auto"/>
        <w:contextualSpacing w:val="0"/>
      </w:pPr>
      <w:r>
        <w:t xml:space="preserve">$2,000 </w:t>
      </w:r>
      <w:r w:rsidR="003F6FA3" w:rsidRPr="003F6FA3">
        <w:t>in additional nuisance fines assessed following the October 19, 2025</w:t>
      </w:r>
      <w:r w:rsidR="008E3820">
        <w:t>,</w:t>
      </w:r>
      <w:r w:rsidR="003F6FA3" w:rsidRPr="003F6FA3">
        <w:t xml:space="preserve"> incident involving further law enforcement intervention</w:t>
      </w:r>
      <w:r w:rsidR="003F6FA3">
        <w:t>;</w:t>
      </w:r>
    </w:p>
    <w:p w14:paraId="05057A09" w14:textId="5A927744" w:rsidR="00F61F5F" w:rsidRPr="00C97774" w:rsidRDefault="00F61F5F" w:rsidP="00B51CD6">
      <w:pPr>
        <w:pStyle w:val="ListParagraph"/>
        <w:numPr>
          <w:ilvl w:val="1"/>
          <w:numId w:val="1"/>
        </w:numPr>
        <w:spacing w:after="120" w:line="276" w:lineRule="auto"/>
        <w:contextualSpacing w:val="0"/>
      </w:pPr>
      <w:r w:rsidRPr="00C97774">
        <w:t xml:space="preserve">$100 in lien recording costs incurred </w:t>
      </w:r>
      <w:r w:rsidR="0087709E">
        <w:t>on</w:t>
      </w:r>
      <w:r w:rsidRPr="00C97774">
        <w:t xml:space="preserve"> August</w:t>
      </w:r>
      <w:r w:rsidR="0087709E">
        <w:t xml:space="preserve"> 14,</w:t>
      </w:r>
      <w:r w:rsidRPr="00C97774">
        <w:t xml:space="preserve"> 2025; and</w:t>
      </w:r>
    </w:p>
    <w:p w14:paraId="4E3FAFC3" w14:textId="6AC4B36F" w:rsidR="00F61F5F" w:rsidRPr="00C97774" w:rsidRDefault="00C97774" w:rsidP="00B51CD6">
      <w:pPr>
        <w:pStyle w:val="ListParagraph"/>
        <w:numPr>
          <w:ilvl w:val="1"/>
          <w:numId w:val="1"/>
        </w:numPr>
        <w:spacing w:after="120" w:line="276" w:lineRule="auto"/>
        <w:contextualSpacing w:val="0"/>
      </w:pPr>
      <w:r w:rsidRPr="00C97774">
        <w:t>$105.00 in unpaid annual dues assessed on January 1, 2026.</w:t>
      </w:r>
    </w:p>
    <w:p w14:paraId="676C04EE" w14:textId="125EBAA0" w:rsidR="0087709E" w:rsidRPr="0087709E" w:rsidRDefault="0087709E" w:rsidP="00CD65CF">
      <w:pPr>
        <w:pStyle w:val="ListParagraph"/>
        <w:numPr>
          <w:ilvl w:val="0"/>
          <w:numId w:val="1"/>
        </w:numPr>
        <w:spacing w:after="120" w:line="276" w:lineRule="auto"/>
        <w:ind w:left="0" w:firstLine="720"/>
        <w:contextualSpacing w:val="0"/>
      </w:pPr>
      <w:r w:rsidRPr="0087709E">
        <w:t>The total amount owed by Defendants under this Count is $5,335.00, together with applicable interest, costs, and reasonable attorney’s fees</w:t>
      </w:r>
      <w:r w:rsidR="00DA37DE">
        <w:t>.</w:t>
      </w:r>
    </w:p>
    <w:p w14:paraId="1F7B3CC4" w14:textId="5A0FBA11" w:rsidR="00864A6B" w:rsidRPr="00864A6B" w:rsidRDefault="0087709E" w:rsidP="00CD65CF">
      <w:pPr>
        <w:pStyle w:val="ListParagraph"/>
        <w:numPr>
          <w:ilvl w:val="0"/>
          <w:numId w:val="1"/>
        </w:numPr>
        <w:spacing w:after="120" w:line="276" w:lineRule="auto"/>
        <w:ind w:left="0" w:firstLine="720"/>
        <w:contextualSpacing w:val="0"/>
        <w:rPr>
          <w:b/>
          <w:bCs/>
        </w:rPr>
      </w:pPr>
      <w:r w:rsidRPr="0087709E">
        <w:t>Despite notice and demand, Defendants have failed and refused to pay these amounts</w:t>
      </w:r>
      <w:r w:rsidR="00864A6B">
        <w:t>.</w:t>
      </w:r>
    </w:p>
    <w:p w14:paraId="49BCBB0E" w14:textId="07109169" w:rsidR="00864A6B" w:rsidRPr="00972B26" w:rsidRDefault="00972B26" w:rsidP="00CD65CF">
      <w:pPr>
        <w:pStyle w:val="ListParagraph"/>
        <w:numPr>
          <w:ilvl w:val="0"/>
          <w:numId w:val="1"/>
        </w:numPr>
        <w:spacing w:after="120" w:line="276" w:lineRule="auto"/>
        <w:ind w:left="0" w:firstLine="720"/>
        <w:contextualSpacing w:val="0"/>
        <w:rPr>
          <w:b/>
          <w:bCs/>
        </w:rPr>
      </w:pPr>
      <w:r w:rsidRPr="00972B26">
        <w:t>Plaintiff seeks a personal money judgment for all unpaid amounts not satisfied through foreclosure of the Association’s lien</w:t>
      </w:r>
      <w:r w:rsidR="00FC12ED" w:rsidRPr="006B200B">
        <w:t>.</w:t>
      </w:r>
    </w:p>
    <w:p w14:paraId="41D58AE2" w14:textId="02ACE324" w:rsidR="00972B26" w:rsidRPr="00972B26" w:rsidRDefault="00972B26" w:rsidP="00CD65CF">
      <w:pPr>
        <w:pStyle w:val="ListParagraph"/>
        <w:numPr>
          <w:ilvl w:val="0"/>
          <w:numId w:val="1"/>
        </w:numPr>
        <w:spacing w:after="120" w:line="276" w:lineRule="auto"/>
        <w:ind w:left="0" w:firstLine="720"/>
        <w:contextualSpacing w:val="0"/>
      </w:pPr>
      <w:r w:rsidRPr="00972B26">
        <w:t>Plaintiff does not seek a double recovery, and any amounts recovered through foreclosure of the Association’s lien shall be credited against any personal judgment entered against Defendants</w:t>
      </w:r>
      <w:r w:rsidR="00DA37DE">
        <w:t>.</w:t>
      </w:r>
    </w:p>
    <w:p w14:paraId="197DB614" w14:textId="21A727B4" w:rsidR="005341BC" w:rsidRDefault="00FB0CA5" w:rsidP="00FB0CA5">
      <w:pPr>
        <w:spacing w:after="120" w:line="276" w:lineRule="auto"/>
        <w:ind w:left="0" w:firstLine="720"/>
      </w:pPr>
      <w:r>
        <w:t>WHEREFORE</w:t>
      </w:r>
      <w:r w:rsidR="00B556AB">
        <w:t>,</w:t>
      </w:r>
      <w:r w:rsidR="00F62A0E" w:rsidRPr="00F62A0E">
        <w:t xml:space="preserve"> </w:t>
      </w:r>
      <w:r w:rsidR="00972B26" w:rsidRPr="00972B26">
        <w:t>Plaintiff respectfully requests that the Court enter judgment in favor of Plaintiff and against Defendants in the amount of $5,335.00, together with applicable interest, costs, reasonable attorney’s fees as permitted by the governing documents and Nebraska law, and such other and further relief as the Court deems just and proper</w:t>
      </w:r>
      <w:r>
        <w:t>.</w:t>
      </w:r>
    </w:p>
    <w:p w14:paraId="7AFC85EB" w14:textId="58046C32" w:rsidR="00C517F8" w:rsidRDefault="00C517F8" w:rsidP="00D42BBD">
      <w:pPr>
        <w:spacing w:after="120" w:line="276" w:lineRule="auto"/>
        <w:ind w:left="720" w:firstLine="0"/>
      </w:pPr>
      <w:bookmarkStart w:id="2" w:name="_Hlk221630741"/>
      <w:r>
        <w:t xml:space="preserve">DATED this </w:t>
      </w:r>
      <w:r w:rsidR="00D95392">
        <w:t xml:space="preserve">_____ </w:t>
      </w:r>
      <w:r>
        <w:t xml:space="preserve">day of </w:t>
      </w:r>
      <w:r w:rsidR="00972B26">
        <w:t>April</w:t>
      </w:r>
      <w:r w:rsidR="00D95392">
        <w:t>, 2026</w:t>
      </w:r>
      <w:r>
        <w:t>.</w:t>
      </w:r>
    </w:p>
    <w:p w14:paraId="44AA7F6F" w14:textId="5307C395" w:rsidR="00C517F8" w:rsidRDefault="00D95392" w:rsidP="00C517F8">
      <w:pPr>
        <w:ind w:left="3600" w:firstLine="0"/>
      </w:pPr>
      <w:r>
        <w:t xml:space="preserve">WHITETAIL CREEK </w:t>
      </w:r>
      <w:r w:rsidR="005341BC">
        <w:t>HOMEOWNERS ASSOCIATION</w:t>
      </w:r>
      <w:r w:rsidR="00C517F8">
        <w:t>, Plaintiff,</w:t>
      </w:r>
    </w:p>
    <w:p w14:paraId="5BE790ED" w14:textId="77777777" w:rsidR="00C517F8" w:rsidRPr="00B73E1F" w:rsidRDefault="00C517F8" w:rsidP="00C517F8">
      <w:pPr>
        <w:ind w:left="3600" w:firstLine="0"/>
        <w:jc w:val="both"/>
      </w:pPr>
    </w:p>
    <w:p w14:paraId="5DAFB880" w14:textId="2F3E7E99" w:rsidR="00C517F8" w:rsidRPr="00B73E1F" w:rsidRDefault="00C517F8" w:rsidP="00C517F8">
      <w:pPr>
        <w:ind w:left="720" w:firstLine="0"/>
        <w:rPr>
          <w:u w:val="single"/>
        </w:rPr>
      </w:pPr>
      <w:r w:rsidRPr="00B73E1F">
        <w:tab/>
      </w:r>
      <w:r w:rsidRPr="00B73E1F">
        <w:tab/>
      </w:r>
      <w:r w:rsidRPr="00B73E1F">
        <w:tab/>
        <w:t>By:</w:t>
      </w:r>
      <w:r w:rsidRPr="00B73E1F">
        <w:tab/>
      </w:r>
      <w:r w:rsidRPr="00B73E1F">
        <w:rPr>
          <w:u w:val="single"/>
        </w:rPr>
        <w:t>/s</w:t>
      </w:r>
      <w:r w:rsidR="00714758">
        <w:rPr>
          <w:u w:val="single"/>
        </w:rPr>
        <w:t>/ John M. Walker</w:t>
      </w:r>
      <w:r w:rsidR="00714758">
        <w:rPr>
          <w:u w:val="single"/>
        </w:rPr>
        <w:tab/>
      </w:r>
      <w:r w:rsidR="00714758">
        <w:rPr>
          <w:u w:val="single"/>
        </w:rPr>
        <w:tab/>
      </w:r>
      <w:r w:rsidR="00714758">
        <w:rPr>
          <w:u w:val="single"/>
        </w:rPr>
        <w:tab/>
      </w:r>
    </w:p>
    <w:p w14:paraId="3945EFA0" w14:textId="05DBDE06" w:rsidR="00C517F8" w:rsidRDefault="00C517F8" w:rsidP="00C517F8">
      <w:pPr>
        <w:ind w:left="720" w:firstLine="0"/>
      </w:pPr>
      <w:r w:rsidRPr="00B73E1F">
        <w:tab/>
      </w:r>
      <w:r w:rsidRPr="00B73E1F">
        <w:tab/>
      </w:r>
      <w:r w:rsidRPr="00B73E1F">
        <w:tab/>
      </w:r>
      <w:r w:rsidR="00CD28C5">
        <w:t xml:space="preserve">           </w:t>
      </w:r>
      <w:r w:rsidR="00D42BBD">
        <w:t xml:space="preserve"> </w:t>
      </w:r>
      <w:r>
        <w:t xml:space="preserve">John </w:t>
      </w:r>
      <w:r w:rsidR="007F0284">
        <w:t xml:space="preserve">M. </w:t>
      </w:r>
      <w:r>
        <w:t>Walker, #</w:t>
      </w:r>
      <w:r w:rsidR="007F0284">
        <w:t>23250</w:t>
      </w:r>
    </w:p>
    <w:p w14:paraId="6356042E" w14:textId="07503B3C" w:rsidR="007F0284" w:rsidRDefault="007F0284" w:rsidP="00C517F8">
      <w:pPr>
        <w:ind w:left="720" w:firstLine="0"/>
      </w:pPr>
      <w:r>
        <w:tab/>
      </w:r>
      <w:r>
        <w:tab/>
      </w:r>
      <w:r>
        <w:tab/>
      </w:r>
      <w:r>
        <w:tab/>
        <w:t>Anna J. Clark</w:t>
      </w:r>
      <w:r w:rsidR="00C21851">
        <w:t>,</w:t>
      </w:r>
      <w:r>
        <w:t xml:space="preserve"> #28421</w:t>
      </w:r>
    </w:p>
    <w:p w14:paraId="4B06A0E5" w14:textId="7500D64B" w:rsidR="00C517F8" w:rsidRPr="00B73E1F" w:rsidRDefault="00CD28C5" w:rsidP="00CD28C5">
      <w:pPr>
        <w:ind w:left="0" w:firstLine="0"/>
      </w:pPr>
      <w:r>
        <w:t xml:space="preserve"> </w:t>
      </w:r>
      <w:r>
        <w:tab/>
      </w:r>
      <w:r>
        <w:tab/>
      </w:r>
      <w:r>
        <w:tab/>
      </w:r>
      <w:r>
        <w:tab/>
        <w:t xml:space="preserve">          </w:t>
      </w:r>
      <w:r w:rsidR="00D42BBD">
        <w:t xml:space="preserve">  </w:t>
      </w:r>
      <w:r w:rsidR="00C517F8" w:rsidRPr="00B73E1F">
        <w:t>LAMSON DUGAN</w:t>
      </w:r>
      <w:r w:rsidR="00C517F8">
        <w:t xml:space="preserve"> &amp;</w:t>
      </w:r>
      <w:r w:rsidR="00C517F8" w:rsidRPr="00B73E1F">
        <w:t xml:space="preserve"> MURRAY</w:t>
      </w:r>
      <w:r w:rsidR="00D42BBD">
        <w:t xml:space="preserve"> </w:t>
      </w:r>
      <w:r w:rsidR="00C517F8" w:rsidRPr="00B73E1F">
        <w:t>LLP</w:t>
      </w:r>
    </w:p>
    <w:p w14:paraId="58574DE0" w14:textId="3BBE48FF" w:rsidR="00C517F8" w:rsidRPr="00B73E1F" w:rsidRDefault="00C517F8" w:rsidP="00C517F8">
      <w:pPr>
        <w:ind w:left="720" w:firstLine="0"/>
      </w:pPr>
      <w:r w:rsidRPr="00B73E1F">
        <w:tab/>
      </w:r>
      <w:r w:rsidRPr="00B73E1F">
        <w:tab/>
      </w:r>
      <w:r w:rsidRPr="00B73E1F">
        <w:tab/>
      </w:r>
      <w:r w:rsidRPr="00B73E1F">
        <w:tab/>
        <w:t>10306 Regency Parkway Drive</w:t>
      </w:r>
    </w:p>
    <w:p w14:paraId="28537EAA" w14:textId="11E35508" w:rsidR="00C517F8" w:rsidRPr="00B73E1F" w:rsidRDefault="00C517F8" w:rsidP="00C517F8">
      <w:pPr>
        <w:ind w:left="720" w:firstLine="0"/>
      </w:pPr>
      <w:r w:rsidRPr="00B73E1F">
        <w:tab/>
      </w:r>
      <w:r w:rsidRPr="00B73E1F">
        <w:tab/>
      </w:r>
      <w:r w:rsidRPr="00B73E1F">
        <w:tab/>
      </w:r>
      <w:r w:rsidR="00CD28C5">
        <w:t xml:space="preserve">           </w:t>
      </w:r>
      <w:r w:rsidR="00D42BBD">
        <w:t xml:space="preserve"> </w:t>
      </w:r>
      <w:r w:rsidRPr="00B73E1F">
        <w:t>Omaha, NE 68114-3743</w:t>
      </w:r>
    </w:p>
    <w:p w14:paraId="1951A8C9" w14:textId="77777777" w:rsidR="00D95392" w:rsidRDefault="00C517F8" w:rsidP="00C517F8">
      <w:pPr>
        <w:ind w:left="720" w:firstLine="0"/>
      </w:pPr>
      <w:r w:rsidRPr="00B73E1F">
        <w:tab/>
      </w:r>
      <w:r w:rsidRPr="00B73E1F">
        <w:tab/>
      </w:r>
      <w:r w:rsidR="00CD28C5">
        <w:t xml:space="preserve">                     </w:t>
      </w:r>
      <w:r w:rsidR="00D42BBD">
        <w:t xml:space="preserve">   </w:t>
      </w:r>
      <w:r w:rsidRPr="00B73E1F">
        <w:t>Telephone: (402) 397-7300</w:t>
      </w:r>
    </w:p>
    <w:p w14:paraId="262F1601" w14:textId="6BDC933D" w:rsidR="00C517F8" w:rsidRDefault="00C517F8" w:rsidP="00C517F8">
      <w:pPr>
        <w:ind w:left="720" w:firstLine="0"/>
      </w:pPr>
      <w:r w:rsidRPr="00B73E1F">
        <w:tab/>
      </w:r>
      <w:r w:rsidRPr="00B73E1F">
        <w:tab/>
      </w:r>
      <w:r>
        <w:tab/>
      </w:r>
      <w:r w:rsidR="00D42BBD">
        <w:t xml:space="preserve">     </w:t>
      </w:r>
      <w:r w:rsidR="00CD28C5">
        <w:t xml:space="preserve">    </w:t>
      </w:r>
      <w:r w:rsidR="00D42BBD">
        <w:t xml:space="preserve">   </w:t>
      </w:r>
      <w:r>
        <w:t>F</w:t>
      </w:r>
      <w:r w:rsidRPr="00B73E1F">
        <w:t>ax: (402) 397-7824</w:t>
      </w:r>
    </w:p>
    <w:p w14:paraId="02EBE1DC" w14:textId="7C65B0D1" w:rsidR="00D622A1" w:rsidRDefault="00C517F8" w:rsidP="00C517F8">
      <w:pPr>
        <w:ind w:left="720" w:firstLine="0"/>
        <w:rPr>
          <w:rFonts w:eastAsiaTheme="majorEastAsia"/>
        </w:rPr>
      </w:pPr>
      <w:r>
        <w:tab/>
      </w:r>
      <w:r>
        <w:tab/>
      </w:r>
      <w:r>
        <w:tab/>
      </w:r>
      <w:r w:rsidR="00CD28C5">
        <w:t xml:space="preserve">           </w:t>
      </w:r>
      <w:r w:rsidR="00D42BBD">
        <w:t xml:space="preserve"> </w:t>
      </w:r>
      <w:hyperlink r:id="rId7" w:history="1">
        <w:r w:rsidR="00D42BBD" w:rsidRPr="00144B86">
          <w:rPr>
            <w:rStyle w:val="Hyperlink"/>
            <w:rFonts w:eastAsiaTheme="majorEastAsia"/>
          </w:rPr>
          <w:t>jwalker@ldmlaw.com</w:t>
        </w:r>
      </w:hyperlink>
    </w:p>
    <w:p w14:paraId="776BDA75" w14:textId="713160BC" w:rsidR="00C517F8" w:rsidRPr="00D95392" w:rsidRDefault="00D622A1" w:rsidP="00D95392">
      <w:pPr>
        <w:ind w:left="720" w:firstLine="0"/>
        <w:rPr>
          <w:rFonts w:eastAsiaTheme="majorEastAsia"/>
          <w:color w:val="467886" w:themeColor="hyperlink"/>
          <w:u w:val="single"/>
        </w:rPr>
      </w:pPr>
      <w:r>
        <w:rPr>
          <w:rFonts w:eastAsiaTheme="majorEastAsia"/>
        </w:rPr>
        <w:lastRenderedPageBreak/>
        <w:tab/>
      </w:r>
      <w:r>
        <w:rPr>
          <w:rFonts w:eastAsiaTheme="majorEastAsia"/>
        </w:rPr>
        <w:tab/>
      </w:r>
      <w:r w:rsidR="00CD28C5">
        <w:rPr>
          <w:rFonts w:eastAsiaTheme="majorEastAsia"/>
        </w:rPr>
        <w:t xml:space="preserve">                 </w:t>
      </w:r>
      <w:r w:rsidR="00D42BBD">
        <w:rPr>
          <w:rFonts w:eastAsiaTheme="majorEastAsia"/>
        </w:rPr>
        <w:t xml:space="preserve">       </w:t>
      </w:r>
      <w:hyperlink r:id="rId8" w:history="1">
        <w:r w:rsidR="00B52A21" w:rsidRPr="00144B86">
          <w:rPr>
            <w:rStyle w:val="Hyperlink"/>
            <w:rFonts w:eastAsiaTheme="majorEastAsia"/>
          </w:rPr>
          <w:t>aclark@ldmlaw.com</w:t>
        </w:r>
      </w:hyperlink>
    </w:p>
    <w:bookmarkEnd w:id="2"/>
    <w:p w14:paraId="7FA8C03F" w14:textId="1E229129" w:rsidR="00C517F8" w:rsidRPr="00B73E1F" w:rsidRDefault="00C517F8" w:rsidP="00C517F8">
      <w:pPr>
        <w:ind w:left="720" w:firstLine="0"/>
      </w:pPr>
    </w:p>
    <w:p w14:paraId="07E439EF" w14:textId="77777777" w:rsidR="00C517F8" w:rsidRDefault="00C517F8" w:rsidP="00C517F8">
      <w:pPr>
        <w:ind w:left="720" w:firstLine="0"/>
      </w:pPr>
    </w:p>
    <w:p w14:paraId="594F0966" w14:textId="77777777" w:rsidR="00D95392" w:rsidRDefault="00D95392" w:rsidP="00C517F8">
      <w:pPr>
        <w:ind w:left="720" w:firstLine="0"/>
      </w:pPr>
    </w:p>
    <w:p w14:paraId="49C9DDDF" w14:textId="64C1F52E" w:rsidR="00D95392" w:rsidRDefault="00D95392" w:rsidP="00D95392">
      <w:pPr>
        <w:spacing w:line="180" w:lineRule="exact"/>
        <w:ind w:left="720" w:firstLine="0"/>
      </w:pPr>
    </w:p>
    <w:p w14:paraId="1551C86D" w14:textId="73ABAA0F" w:rsidR="0020285D" w:rsidRDefault="0020285D" w:rsidP="0020285D">
      <w:pPr>
        <w:spacing w:line="180" w:lineRule="exact"/>
        <w:ind w:left="720" w:firstLine="0"/>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4916-7630-2990, v. 1</w:t>
      </w:r>
      <w:r>
        <w:rPr>
          <w:rFonts w:ascii="Arial" w:hAnsi="Arial" w:cs="Arial"/>
          <w:sz w:val="16"/>
        </w:rPr>
        <w:fldChar w:fldCharType="end"/>
      </w:r>
    </w:p>
    <w:sectPr w:rsidR="0020285D" w:rsidSect="00503890">
      <w:headerReference w:type="even" r:id="rId9"/>
      <w:headerReference w:type="default" r:id="rId10"/>
      <w:footerReference w:type="even" r:id="rId11"/>
      <w:footerReference w:type="default" r:id="rId12"/>
      <w:headerReference w:type="first" r:id="rId13"/>
      <w:footerReference w:type="first" r:id="rId14"/>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E10C" w14:textId="77777777" w:rsidR="000654F2" w:rsidRDefault="000654F2" w:rsidP="00FB0CA5">
      <w:r>
        <w:separator/>
      </w:r>
    </w:p>
  </w:endnote>
  <w:endnote w:type="continuationSeparator" w:id="0">
    <w:p w14:paraId="50D45779" w14:textId="77777777" w:rsidR="000654F2" w:rsidRDefault="000654F2" w:rsidP="00FB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43FA" w14:textId="77777777" w:rsidR="00D95392" w:rsidRDefault="00D95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798097"/>
      <w:docPartObj>
        <w:docPartGallery w:val="Page Numbers (Bottom of Page)"/>
        <w:docPartUnique/>
      </w:docPartObj>
    </w:sdtPr>
    <w:sdtEndPr>
      <w:rPr>
        <w:noProof/>
      </w:rPr>
    </w:sdtEndPr>
    <w:sdtContent>
      <w:p w14:paraId="2FBF590B" w14:textId="61440EAB" w:rsidR="00503890" w:rsidRDefault="00503890" w:rsidP="00E50799">
        <w:pPr>
          <w:pStyle w:val="Footer"/>
          <w:tabs>
            <w:tab w:val="clear" w:pos="4680"/>
          </w:tabs>
          <w:ind w:left="0"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F992" w14:textId="77777777" w:rsidR="00D95392" w:rsidRDefault="00D95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3216" w14:textId="77777777" w:rsidR="000654F2" w:rsidRDefault="000654F2" w:rsidP="00FB0CA5">
      <w:r>
        <w:separator/>
      </w:r>
    </w:p>
  </w:footnote>
  <w:footnote w:type="continuationSeparator" w:id="0">
    <w:p w14:paraId="7EB165A5" w14:textId="77777777" w:rsidR="000654F2" w:rsidRDefault="000654F2" w:rsidP="00FB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DBC6" w14:textId="77777777" w:rsidR="00D95392" w:rsidRDefault="00D95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54C6" w14:textId="77777777" w:rsidR="00D95392" w:rsidRDefault="00D953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57B7" w14:textId="77777777" w:rsidR="00D95392" w:rsidRDefault="00D95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B4184"/>
    <w:multiLevelType w:val="hybridMultilevel"/>
    <w:tmpl w:val="C812DE30"/>
    <w:lvl w:ilvl="0" w:tplc="B7B08CC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F761A"/>
    <w:multiLevelType w:val="hybridMultilevel"/>
    <w:tmpl w:val="C812DE30"/>
    <w:lvl w:ilvl="0" w:tplc="FFFFFFFF">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8F90C18"/>
    <w:multiLevelType w:val="hybridMultilevel"/>
    <w:tmpl w:val="C812DE3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2B4162"/>
    <w:multiLevelType w:val="hybridMultilevel"/>
    <w:tmpl w:val="C812DE3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ED0E07"/>
    <w:multiLevelType w:val="hybridMultilevel"/>
    <w:tmpl w:val="82F8DC9E"/>
    <w:lvl w:ilvl="0" w:tplc="10329996">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1869424">
    <w:abstractNumId w:val="0"/>
  </w:num>
  <w:num w:numId="2" w16cid:durableId="181014816">
    <w:abstractNumId w:val="3"/>
  </w:num>
  <w:num w:numId="3" w16cid:durableId="649213669">
    <w:abstractNumId w:val="2"/>
  </w:num>
  <w:num w:numId="4" w16cid:durableId="1960336616">
    <w:abstractNumId w:val="4"/>
  </w:num>
  <w:num w:numId="5" w16cid:durableId="44073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16-7630-2990, v. 1"/>
    <w:docVar w:name="ndGeneratedStampLocation" w:val="LastPage"/>
  </w:docVars>
  <w:rsids>
    <w:rsidRoot w:val="00C517F8"/>
    <w:rsid w:val="000375DC"/>
    <w:rsid w:val="000654F2"/>
    <w:rsid w:val="00081525"/>
    <w:rsid w:val="00082697"/>
    <w:rsid w:val="000A58D8"/>
    <w:rsid w:val="000B3535"/>
    <w:rsid w:val="000E3D68"/>
    <w:rsid w:val="000F3CE6"/>
    <w:rsid w:val="000F51D0"/>
    <w:rsid w:val="00113874"/>
    <w:rsid w:val="00126A57"/>
    <w:rsid w:val="00147CE4"/>
    <w:rsid w:val="00155F86"/>
    <w:rsid w:val="001802AD"/>
    <w:rsid w:val="00183ABD"/>
    <w:rsid w:val="00186EC7"/>
    <w:rsid w:val="00196667"/>
    <w:rsid w:val="001E2E79"/>
    <w:rsid w:val="001F0AB0"/>
    <w:rsid w:val="001F6FAC"/>
    <w:rsid w:val="0020285D"/>
    <w:rsid w:val="00204D30"/>
    <w:rsid w:val="00216C8C"/>
    <w:rsid w:val="002426EC"/>
    <w:rsid w:val="00244AFB"/>
    <w:rsid w:val="002540D9"/>
    <w:rsid w:val="00287946"/>
    <w:rsid w:val="00295C23"/>
    <w:rsid w:val="0029737B"/>
    <w:rsid w:val="002C0BD1"/>
    <w:rsid w:val="002D65FA"/>
    <w:rsid w:val="003033F6"/>
    <w:rsid w:val="003448BE"/>
    <w:rsid w:val="00375ED6"/>
    <w:rsid w:val="00382009"/>
    <w:rsid w:val="003961D5"/>
    <w:rsid w:val="003B1FBF"/>
    <w:rsid w:val="003B3287"/>
    <w:rsid w:val="003B4351"/>
    <w:rsid w:val="003C2EDB"/>
    <w:rsid w:val="003F02E7"/>
    <w:rsid w:val="003F6FA3"/>
    <w:rsid w:val="00405312"/>
    <w:rsid w:val="0041372D"/>
    <w:rsid w:val="00432D05"/>
    <w:rsid w:val="00444957"/>
    <w:rsid w:val="00480367"/>
    <w:rsid w:val="00482E60"/>
    <w:rsid w:val="004D0F11"/>
    <w:rsid w:val="004D2DCD"/>
    <w:rsid w:val="004E4A29"/>
    <w:rsid w:val="004E5F0B"/>
    <w:rsid w:val="00503890"/>
    <w:rsid w:val="00505CAE"/>
    <w:rsid w:val="005070FB"/>
    <w:rsid w:val="0051107A"/>
    <w:rsid w:val="00516288"/>
    <w:rsid w:val="00533B88"/>
    <w:rsid w:val="005341BC"/>
    <w:rsid w:val="0054777D"/>
    <w:rsid w:val="00550149"/>
    <w:rsid w:val="005A370D"/>
    <w:rsid w:val="005B3C6E"/>
    <w:rsid w:val="005D4768"/>
    <w:rsid w:val="0067684A"/>
    <w:rsid w:val="006B200B"/>
    <w:rsid w:val="006D738C"/>
    <w:rsid w:val="006E7033"/>
    <w:rsid w:val="006E7EF5"/>
    <w:rsid w:val="006F67D0"/>
    <w:rsid w:val="00700B87"/>
    <w:rsid w:val="007079D3"/>
    <w:rsid w:val="00714758"/>
    <w:rsid w:val="007155C6"/>
    <w:rsid w:val="0074727D"/>
    <w:rsid w:val="00791D20"/>
    <w:rsid w:val="00792D1F"/>
    <w:rsid w:val="007F0284"/>
    <w:rsid w:val="00864A6B"/>
    <w:rsid w:val="00866CC2"/>
    <w:rsid w:val="0087709E"/>
    <w:rsid w:val="00883C83"/>
    <w:rsid w:val="008A0638"/>
    <w:rsid w:val="008A0902"/>
    <w:rsid w:val="008B3EEE"/>
    <w:rsid w:val="008C6506"/>
    <w:rsid w:val="008E2314"/>
    <w:rsid w:val="008E3820"/>
    <w:rsid w:val="008F4BF2"/>
    <w:rsid w:val="009040F0"/>
    <w:rsid w:val="00925A21"/>
    <w:rsid w:val="0093056C"/>
    <w:rsid w:val="00951CB3"/>
    <w:rsid w:val="00957DB1"/>
    <w:rsid w:val="00972B26"/>
    <w:rsid w:val="00973DB4"/>
    <w:rsid w:val="009A7DB5"/>
    <w:rsid w:val="009B201D"/>
    <w:rsid w:val="009B3E27"/>
    <w:rsid w:val="009B7102"/>
    <w:rsid w:val="009E1B4E"/>
    <w:rsid w:val="009E42D7"/>
    <w:rsid w:val="009E55D1"/>
    <w:rsid w:val="00A0409C"/>
    <w:rsid w:val="00A24A25"/>
    <w:rsid w:val="00A315FF"/>
    <w:rsid w:val="00A3323D"/>
    <w:rsid w:val="00A67740"/>
    <w:rsid w:val="00AA0A97"/>
    <w:rsid w:val="00AD210F"/>
    <w:rsid w:val="00AD2B9A"/>
    <w:rsid w:val="00AE62EE"/>
    <w:rsid w:val="00AF5311"/>
    <w:rsid w:val="00B20DB6"/>
    <w:rsid w:val="00B51CD6"/>
    <w:rsid w:val="00B52A21"/>
    <w:rsid w:val="00B556AB"/>
    <w:rsid w:val="00B709F0"/>
    <w:rsid w:val="00B93D64"/>
    <w:rsid w:val="00BA02E8"/>
    <w:rsid w:val="00BB1F5F"/>
    <w:rsid w:val="00BB6B0F"/>
    <w:rsid w:val="00BC09F5"/>
    <w:rsid w:val="00BC59F3"/>
    <w:rsid w:val="00BD5F98"/>
    <w:rsid w:val="00BE603B"/>
    <w:rsid w:val="00BF227C"/>
    <w:rsid w:val="00C03BC1"/>
    <w:rsid w:val="00C03FE0"/>
    <w:rsid w:val="00C141A1"/>
    <w:rsid w:val="00C21851"/>
    <w:rsid w:val="00C21C50"/>
    <w:rsid w:val="00C44BCD"/>
    <w:rsid w:val="00C450B3"/>
    <w:rsid w:val="00C517F8"/>
    <w:rsid w:val="00C6165B"/>
    <w:rsid w:val="00C91EF3"/>
    <w:rsid w:val="00C97774"/>
    <w:rsid w:val="00CA50A7"/>
    <w:rsid w:val="00CD0B00"/>
    <w:rsid w:val="00CD0F17"/>
    <w:rsid w:val="00CD1E43"/>
    <w:rsid w:val="00CD28C5"/>
    <w:rsid w:val="00CD65CF"/>
    <w:rsid w:val="00CE5C43"/>
    <w:rsid w:val="00D14919"/>
    <w:rsid w:val="00D2613D"/>
    <w:rsid w:val="00D342E4"/>
    <w:rsid w:val="00D35AC1"/>
    <w:rsid w:val="00D42BBD"/>
    <w:rsid w:val="00D437E9"/>
    <w:rsid w:val="00D622A1"/>
    <w:rsid w:val="00D7326A"/>
    <w:rsid w:val="00D95392"/>
    <w:rsid w:val="00DA2380"/>
    <w:rsid w:val="00DA37DE"/>
    <w:rsid w:val="00DF5B2D"/>
    <w:rsid w:val="00E36709"/>
    <w:rsid w:val="00E50799"/>
    <w:rsid w:val="00E7305F"/>
    <w:rsid w:val="00E73FA5"/>
    <w:rsid w:val="00E75970"/>
    <w:rsid w:val="00E76D03"/>
    <w:rsid w:val="00E94671"/>
    <w:rsid w:val="00EA6364"/>
    <w:rsid w:val="00ED0B08"/>
    <w:rsid w:val="00ED2A99"/>
    <w:rsid w:val="00F07FBA"/>
    <w:rsid w:val="00F20CD1"/>
    <w:rsid w:val="00F30750"/>
    <w:rsid w:val="00F534F2"/>
    <w:rsid w:val="00F569F3"/>
    <w:rsid w:val="00F56F52"/>
    <w:rsid w:val="00F61F5F"/>
    <w:rsid w:val="00F62A0E"/>
    <w:rsid w:val="00F81044"/>
    <w:rsid w:val="00F90C8E"/>
    <w:rsid w:val="00F960FF"/>
    <w:rsid w:val="00FA03E1"/>
    <w:rsid w:val="00FA1E57"/>
    <w:rsid w:val="00FB0CA5"/>
    <w:rsid w:val="00FC12ED"/>
    <w:rsid w:val="00FC2BDA"/>
    <w:rsid w:val="00FD2FA8"/>
    <w:rsid w:val="00FE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D0F4"/>
  <w15:chartTrackingRefBased/>
  <w15:docId w15:val="{DE411AC4-2BF2-EA4C-97DE-CA816AE2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7F8"/>
    <w:pPr>
      <w:spacing w:after="0" w:line="240" w:lineRule="auto"/>
      <w:ind w:left="1800" w:hanging="72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51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7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7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7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7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7F8"/>
    <w:rPr>
      <w:rFonts w:eastAsiaTheme="majorEastAsia" w:cstheme="majorBidi"/>
      <w:color w:val="272727" w:themeColor="text1" w:themeTint="D8"/>
    </w:rPr>
  </w:style>
  <w:style w:type="paragraph" w:styleId="Title">
    <w:name w:val="Title"/>
    <w:basedOn w:val="Normal"/>
    <w:next w:val="Normal"/>
    <w:link w:val="TitleChar"/>
    <w:uiPriority w:val="10"/>
    <w:qFormat/>
    <w:rsid w:val="00C517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7F8"/>
    <w:pPr>
      <w:numPr>
        <w:ilvl w:val="1"/>
      </w:numPr>
      <w:ind w:left="180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7F8"/>
    <w:pPr>
      <w:spacing w:before="160"/>
      <w:jc w:val="center"/>
    </w:pPr>
    <w:rPr>
      <w:i/>
      <w:iCs/>
      <w:color w:val="404040" w:themeColor="text1" w:themeTint="BF"/>
    </w:rPr>
  </w:style>
  <w:style w:type="character" w:customStyle="1" w:styleId="QuoteChar">
    <w:name w:val="Quote Char"/>
    <w:basedOn w:val="DefaultParagraphFont"/>
    <w:link w:val="Quote"/>
    <w:uiPriority w:val="29"/>
    <w:rsid w:val="00C517F8"/>
    <w:rPr>
      <w:i/>
      <w:iCs/>
      <w:color w:val="404040" w:themeColor="text1" w:themeTint="BF"/>
    </w:rPr>
  </w:style>
  <w:style w:type="paragraph" w:styleId="ListParagraph">
    <w:name w:val="List Paragraph"/>
    <w:basedOn w:val="Normal"/>
    <w:uiPriority w:val="34"/>
    <w:qFormat/>
    <w:rsid w:val="00C517F8"/>
    <w:pPr>
      <w:ind w:left="720"/>
      <w:contextualSpacing/>
    </w:pPr>
  </w:style>
  <w:style w:type="character" w:styleId="IntenseEmphasis">
    <w:name w:val="Intense Emphasis"/>
    <w:basedOn w:val="DefaultParagraphFont"/>
    <w:uiPriority w:val="21"/>
    <w:qFormat/>
    <w:rsid w:val="00C517F8"/>
    <w:rPr>
      <w:i/>
      <w:iCs/>
      <w:color w:val="0F4761" w:themeColor="accent1" w:themeShade="BF"/>
    </w:rPr>
  </w:style>
  <w:style w:type="paragraph" w:styleId="IntenseQuote">
    <w:name w:val="Intense Quote"/>
    <w:basedOn w:val="Normal"/>
    <w:next w:val="Normal"/>
    <w:link w:val="IntenseQuoteChar"/>
    <w:uiPriority w:val="30"/>
    <w:qFormat/>
    <w:rsid w:val="00C51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7F8"/>
    <w:rPr>
      <w:i/>
      <w:iCs/>
      <w:color w:val="0F4761" w:themeColor="accent1" w:themeShade="BF"/>
    </w:rPr>
  </w:style>
  <w:style w:type="character" w:styleId="IntenseReference">
    <w:name w:val="Intense Reference"/>
    <w:basedOn w:val="DefaultParagraphFont"/>
    <w:uiPriority w:val="32"/>
    <w:qFormat/>
    <w:rsid w:val="00C517F8"/>
    <w:rPr>
      <w:b/>
      <w:bCs/>
      <w:smallCaps/>
      <w:color w:val="0F4761" w:themeColor="accent1" w:themeShade="BF"/>
      <w:spacing w:val="5"/>
    </w:rPr>
  </w:style>
  <w:style w:type="character" w:styleId="Hyperlink">
    <w:name w:val="Hyperlink"/>
    <w:basedOn w:val="DefaultParagraphFont"/>
    <w:uiPriority w:val="99"/>
    <w:unhideWhenUsed/>
    <w:rsid w:val="00C517F8"/>
    <w:rPr>
      <w:color w:val="467886" w:themeColor="hyperlink"/>
      <w:u w:val="single"/>
    </w:rPr>
  </w:style>
  <w:style w:type="table" w:styleId="TableGrid">
    <w:name w:val="Table Grid"/>
    <w:basedOn w:val="TableNormal"/>
    <w:uiPriority w:val="59"/>
    <w:rsid w:val="00C517F8"/>
    <w:pPr>
      <w:spacing w:after="0" w:line="240" w:lineRule="auto"/>
      <w:ind w:left="1800" w:hanging="720"/>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22A1"/>
    <w:rPr>
      <w:color w:val="96607D" w:themeColor="followedHyperlink"/>
      <w:u w:val="single"/>
    </w:rPr>
  </w:style>
  <w:style w:type="character" w:styleId="UnresolvedMention">
    <w:name w:val="Unresolved Mention"/>
    <w:basedOn w:val="DefaultParagraphFont"/>
    <w:uiPriority w:val="99"/>
    <w:semiHidden/>
    <w:unhideWhenUsed/>
    <w:rsid w:val="00D622A1"/>
    <w:rPr>
      <w:color w:val="605E5C"/>
      <w:shd w:val="clear" w:color="auto" w:fill="E1DFDD"/>
    </w:rPr>
  </w:style>
  <w:style w:type="paragraph" w:styleId="Header">
    <w:name w:val="header"/>
    <w:basedOn w:val="Normal"/>
    <w:link w:val="HeaderChar"/>
    <w:uiPriority w:val="99"/>
    <w:unhideWhenUsed/>
    <w:rsid w:val="00FB0CA5"/>
    <w:pPr>
      <w:tabs>
        <w:tab w:val="center" w:pos="4680"/>
        <w:tab w:val="right" w:pos="9360"/>
      </w:tabs>
    </w:pPr>
  </w:style>
  <w:style w:type="character" w:customStyle="1" w:styleId="HeaderChar">
    <w:name w:val="Header Char"/>
    <w:basedOn w:val="DefaultParagraphFont"/>
    <w:link w:val="Header"/>
    <w:uiPriority w:val="99"/>
    <w:rsid w:val="00FB0CA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B0CA5"/>
    <w:pPr>
      <w:tabs>
        <w:tab w:val="center" w:pos="4680"/>
        <w:tab w:val="right" w:pos="9360"/>
      </w:tabs>
    </w:pPr>
  </w:style>
  <w:style w:type="character" w:customStyle="1" w:styleId="FooterChar">
    <w:name w:val="Footer Char"/>
    <w:basedOn w:val="DefaultParagraphFont"/>
    <w:link w:val="Footer"/>
    <w:uiPriority w:val="99"/>
    <w:rsid w:val="00FB0CA5"/>
    <w:rPr>
      <w:rFonts w:ascii="Times New Roman" w:eastAsia="Times New Roman" w:hAnsi="Times New Roman" w:cs="Times New Roman"/>
      <w:kern w:val="0"/>
      <w14:ligatures w14:val="none"/>
    </w:rPr>
  </w:style>
  <w:style w:type="character" w:styleId="Strong">
    <w:name w:val="Strong"/>
    <w:basedOn w:val="DefaultParagraphFont"/>
    <w:uiPriority w:val="22"/>
    <w:qFormat/>
    <w:rsid w:val="00444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lark@ldmla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walker@ldmlaw.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TotalTime>
  <Pages>11</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18474</CharactersWithSpaces>
  <SharedDoc>false</SharedDoc>
  <HLinks>
    <vt:vector size="12" baseType="variant">
      <vt:variant>
        <vt:i4>2883586</vt:i4>
      </vt:variant>
      <vt:variant>
        <vt:i4>3</vt:i4>
      </vt:variant>
      <vt:variant>
        <vt:i4>0</vt:i4>
      </vt:variant>
      <vt:variant>
        <vt:i4>5</vt:i4>
      </vt:variant>
      <vt:variant>
        <vt:lpwstr>mailto:aclark@ldmlaw.com</vt:lpwstr>
      </vt:variant>
      <vt:variant>
        <vt:lpwstr/>
      </vt:variant>
      <vt:variant>
        <vt:i4>5308520</vt:i4>
      </vt:variant>
      <vt:variant>
        <vt:i4>0</vt:i4>
      </vt:variant>
      <vt:variant>
        <vt:i4>0</vt:i4>
      </vt:variant>
      <vt:variant>
        <vt:i4>5</vt:i4>
      </vt:variant>
      <vt:variant>
        <vt:lpwstr>mailto:jwalker@ldmlaw.com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Anna</dc:creator>
  <cp:keywords/>
  <dc:description/>
  <cp:lastModifiedBy>Clark, Anna</cp:lastModifiedBy>
  <cp:revision>112</cp:revision>
  <dcterms:created xsi:type="dcterms:W3CDTF">2026-02-17T15:39:00Z</dcterms:created>
  <dcterms:modified xsi:type="dcterms:W3CDTF">2026-04-27T18:26:00Z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4916-7630-2990</vt:lpwstr>
  </op:property>
</op:Properties>
</file>